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21" w:rsidRPr="00253886" w:rsidRDefault="00942521" w:rsidP="00253886">
      <w:pPr>
        <w:spacing w:before="100" w:beforeAutospacing="1" w:after="100" w:afterAutospacing="1" w:line="240" w:lineRule="auto"/>
        <w:outlineLvl w:val="4"/>
        <w:rPr>
          <w:rFonts w:ascii="Times New Roman" w:eastAsia="Times New Roman" w:hAnsi="Times New Roman" w:cs="Times New Roman"/>
          <w:b/>
          <w:bCs/>
          <w:sz w:val="28"/>
          <w:szCs w:val="28"/>
          <w:lang w:eastAsia="de-DE"/>
        </w:rPr>
      </w:pPr>
      <w:r w:rsidRPr="00253886">
        <w:rPr>
          <w:rFonts w:ascii="Times New Roman" w:eastAsia="Times New Roman" w:hAnsi="Times New Roman" w:cs="Times New Roman"/>
          <w:b/>
          <w:bCs/>
          <w:sz w:val="28"/>
          <w:szCs w:val="28"/>
          <w:lang w:eastAsia="de-DE"/>
        </w:rPr>
        <w:t>BERLIN-Studie</w:t>
      </w:r>
    </w:p>
    <w:p w:rsidR="00942521" w:rsidRDefault="00942521" w:rsidP="00942521">
      <w:pPr>
        <w:jc w:val="both"/>
      </w:pPr>
      <w:r>
        <w:t>Die BERLIN-Studie ist die wissenschaftliche Begleituntersuchung zur Berliner Schulstrukturreform, deren zentrale Merkmale die Zusammenlegung der bisherigen Haupt-, Real- und Gesamtschulen zur neu eingeführten Integrieren Sekundarschule (ISS) und die Neugestaltung des Übergangsverfahrens in die weiterführenden Schulen sind.</w:t>
      </w:r>
    </w:p>
    <w:p w:rsidR="00942521" w:rsidRPr="00942521" w:rsidRDefault="00942521" w:rsidP="00942521">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sidRPr="00942521">
        <w:rPr>
          <w:rFonts w:ascii="Times New Roman" w:eastAsia="Times New Roman" w:hAnsi="Times New Roman" w:cs="Times New Roman"/>
          <w:b/>
          <w:bCs/>
          <w:sz w:val="24"/>
          <w:szCs w:val="24"/>
          <w:lang w:eastAsia="de-DE"/>
        </w:rPr>
        <w:t>Projektbeschreibung</w:t>
      </w:r>
    </w:p>
    <w:p w:rsidR="007C203C" w:rsidRDefault="007C203C" w:rsidP="006B230B">
      <w:pPr>
        <w:jc w:val="both"/>
      </w:pPr>
      <w:r>
        <w:t xml:space="preserve">Das Land Berlin hat zum Schuljahresbeginn 2010/11 eine umfassende </w:t>
      </w:r>
      <w:r w:rsidRPr="006B230B">
        <w:rPr>
          <w:i/>
        </w:rPr>
        <w:t>Schulstrukturreform</w:t>
      </w:r>
      <w:r>
        <w:t xml:space="preserve"> durchgeführt. Dabei wurden die bislang bestehenden Haupt-, Real- und Gesamtschulen zur neu geschaffenen Integrierten Sekundarschule (ISS) zusammengefasst. An der ISS können alle Schulabschlüsse einschließlich des Abiturs erworben werden. Die ISS sieht ferner ein verpflichtendes Ganztagsangebot und eine starke Betonung der Berufsorientierung (Duales Lernen) vor. Zudem wurde die Klassenwiederholung an den ISS abgeschafft. Die Ziele der Strukturreform liegen in erster Linie darin, die Zahl der Absolventen mit mittlerem Schulabschluss und mit Hochschulreife zu erhöhen und die Zahl der Abgänger ohne Schulabschluss zu reduzieren. Gleichzeitig soll durch die Reform der Zusammenhang von familiärer Herkunft und Bildungserfolg verringert werden. Im Rahmen der Schulstrukturreform kam es darüber hinaus zu einer </w:t>
      </w:r>
      <w:r w:rsidRPr="006B230B">
        <w:rPr>
          <w:i/>
        </w:rPr>
        <w:t>Modifikation des Übergangsverfahrens</w:t>
      </w:r>
      <w:r>
        <w:t xml:space="preserve"> von der Grundschule in die weiterführende Schule. Die wichtigste Neuerung betrifft das Aufnahmeverfahren an den einzelnen weiterführenden Schulen. Sofern es an einer Schule mehr Anmeldungen als freie Plätze gibt, werden bis zu 10 Prozent der Plätze an Schülerinnen und Schüler aus besonderen familiären und sozialen Lagen („Härtefälle“) vergeben. 60 Prozent der Schüler wählt die Schule aus, z.B. auf der Grundlage der Schulnoten oder von Eingangstests. Die restlichen 30 Prozent der Plätze werden per Losentscheid vergeben. Die neuen Regelungen sollen einerseits eine stärkere Profilbildung der Schulen ermöglichen, andererseits soll vor allem durch den Losentscheid ein Mindestmaß an Heterogenität in der Zusammensatzung der Schülerschaft gewährleistet bleiben.</w:t>
      </w:r>
    </w:p>
    <w:p w:rsidR="008849CC" w:rsidRDefault="008849CC" w:rsidP="006B230B">
      <w:pPr>
        <w:jc w:val="both"/>
      </w:pPr>
      <w:r>
        <w:t xml:space="preserve">Die BERLIN-Studie untersucht die Auswirkungen der Berliner Schulstrukturreform auf die Lernerträge und Bildungsverläufe der Schülerinnen und Schüler. Dazu wird in der BERLIN-Studie ein Schülerjahrgang untersucht, der als zweite Kohorte die neue Schulstruktur durchläuft und gleichzeitig als erste Kohorte nach dem neuen Übergangsverfahren auf die beiden Sekundarschulformen (Gymnasium und ISS) übergegangen ist. Die Schülerinnen und Schüler werden vom Ende ihrer Grundschulzeit (6. Jahrgangsstufe) bis zum Übergang in die gymnasiale Oberstufe bzw. in die berufliche Ausbildung begleitet. Das Studiendesign ist quasi-experimentell angelegt und umfasst zwei Stufen: </w:t>
      </w:r>
      <w:r w:rsidRPr="006B230B">
        <w:rPr>
          <w:i/>
        </w:rPr>
        <w:t xml:space="preserve">Stufe </w:t>
      </w:r>
      <w:r w:rsidR="009507E9">
        <w:rPr>
          <w:i/>
        </w:rPr>
        <w:t>I</w:t>
      </w:r>
      <w:r>
        <w:t xml:space="preserve"> (Untersuchungsmodel 1) konzentriert sich auf den Übergang von der Grundschule in die Sekundarstufe I und </w:t>
      </w:r>
      <w:r w:rsidRPr="006B230B">
        <w:rPr>
          <w:i/>
        </w:rPr>
        <w:t xml:space="preserve">Stufe </w:t>
      </w:r>
      <w:r w:rsidR="009507E9">
        <w:rPr>
          <w:i/>
        </w:rPr>
        <w:t>II</w:t>
      </w:r>
      <w:r>
        <w:t xml:space="preserve"> (Untersuchungsmodule 2 und 3) auf die am Ende der Sekundarstufe I erreichten Bildungserträge und den Übergang in die berufliche Erstausbildung bzw. in einen vorakademischen Bildungsgang (gymnasiale Oberstufe). In beiden Stufen ist im Studiendesign jeweils eine eigene Experimental- und Kontrollgruppe angelegt, wobei die beiden Experimentalgruppen am Ende der Sekundarstufe I miteinander verzahnt werden (vgl. Abb. </w:t>
      </w:r>
      <w:r w:rsidR="00F71CE5">
        <w:t>1</w:t>
      </w:r>
      <w:r>
        <w:t>).</w:t>
      </w:r>
    </w:p>
    <w:p w:rsidR="00F54580" w:rsidRDefault="00A95BC7" w:rsidP="006B230B">
      <w:pPr>
        <w:jc w:val="both"/>
      </w:pPr>
      <w:r>
        <w:rPr>
          <w:noProof/>
          <w:lang w:eastAsia="de-DE"/>
        </w:rPr>
        <w:lastRenderedPageBreak/>
        <w:drawing>
          <wp:inline distT="0" distB="0" distL="0" distR="0" wp14:anchorId="5E4E1548">
            <wp:extent cx="4952390" cy="4150242"/>
            <wp:effectExtent l="0" t="0" r="63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5921" cy="4153201"/>
                    </a:xfrm>
                    <a:prstGeom prst="rect">
                      <a:avLst/>
                    </a:prstGeom>
                    <a:noFill/>
                  </pic:spPr>
                </pic:pic>
              </a:graphicData>
            </a:graphic>
          </wp:inline>
        </w:drawing>
      </w:r>
    </w:p>
    <w:p w:rsidR="00F71CE5" w:rsidRPr="00F54580" w:rsidRDefault="00F71CE5" w:rsidP="00F54580">
      <w:pPr>
        <w:pStyle w:val="berschrift5"/>
        <w:rPr>
          <w:b w:val="0"/>
          <w:bCs w:val="0"/>
        </w:rPr>
      </w:pPr>
      <w:r>
        <w:t xml:space="preserve">Abbildung 1: </w:t>
      </w:r>
      <w:r w:rsidR="00147DBD">
        <w:t>Untersuchungsdesign der</w:t>
      </w:r>
      <w:r>
        <w:t xml:space="preserve"> BERLIN-Studie</w:t>
      </w:r>
    </w:p>
    <w:p w:rsidR="00147DBD" w:rsidRDefault="00147DBD" w:rsidP="00147DBD">
      <w:pPr>
        <w:spacing w:after="0" w:line="240" w:lineRule="auto"/>
        <w:rPr>
          <w:sz w:val="20"/>
          <w:szCs w:val="20"/>
        </w:rPr>
      </w:pPr>
      <w:r>
        <w:rPr>
          <w:sz w:val="20"/>
          <w:szCs w:val="20"/>
        </w:rPr>
        <w:t xml:space="preserve">BERLIN-Studie Modul 1 </w:t>
      </w:r>
      <w:r w:rsidRPr="00F54580">
        <w:rPr>
          <w:sz w:val="20"/>
          <w:szCs w:val="20"/>
        </w:rPr>
        <w:t>–</w:t>
      </w:r>
      <w:r>
        <w:rPr>
          <w:sz w:val="20"/>
          <w:szCs w:val="20"/>
        </w:rPr>
        <w:t xml:space="preserve"> Stufe </w:t>
      </w:r>
      <w:r w:rsidR="009507E9">
        <w:rPr>
          <w:sz w:val="20"/>
          <w:szCs w:val="20"/>
        </w:rPr>
        <w:t>I</w:t>
      </w:r>
      <w:r>
        <w:rPr>
          <w:sz w:val="20"/>
          <w:szCs w:val="20"/>
        </w:rPr>
        <w:t xml:space="preserve"> der BERLIN-Studie, Quasi-Experimentalkohorte.</w:t>
      </w:r>
    </w:p>
    <w:p w:rsidR="00147DBD" w:rsidRDefault="00147DBD" w:rsidP="00147DBD">
      <w:pPr>
        <w:spacing w:after="0" w:line="240" w:lineRule="auto"/>
        <w:rPr>
          <w:sz w:val="20"/>
          <w:szCs w:val="20"/>
        </w:rPr>
      </w:pPr>
      <w:r>
        <w:rPr>
          <w:sz w:val="20"/>
          <w:szCs w:val="20"/>
        </w:rPr>
        <w:t xml:space="preserve">BERLIN-Studie Modul 2 </w:t>
      </w:r>
      <w:r w:rsidRPr="00F54580">
        <w:rPr>
          <w:sz w:val="20"/>
          <w:szCs w:val="20"/>
        </w:rPr>
        <w:t>–</w:t>
      </w:r>
      <w:r>
        <w:rPr>
          <w:sz w:val="20"/>
          <w:szCs w:val="20"/>
        </w:rPr>
        <w:t xml:space="preserve"> Stufe </w:t>
      </w:r>
      <w:r w:rsidR="009507E9">
        <w:rPr>
          <w:sz w:val="20"/>
          <w:szCs w:val="20"/>
        </w:rPr>
        <w:t>II</w:t>
      </w:r>
      <w:r>
        <w:rPr>
          <w:sz w:val="20"/>
          <w:szCs w:val="20"/>
        </w:rPr>
        <w:t xml:space="preserve"> der BERLIN-Studie, Quasi-Experimentalkohorte.</w:t>
      </w:r>
    </w:p>
    <w:p w:rsidR="00147DBD" w:rsidRDefault="00147DBD" w:rsidP="00147DBD">
      <w:pPr>
        <w:spacing w:after="0" w:line="240" w:lineRule="auto"/>
        <w:rPr>
          <w:sz w:val="20"/>
          <w:szCs w:val="20"/>
        </w:rPr>
      </w:pPr>
      <w:r>
        <w:rPr>
          <w:sz w:val="20"/>
          <w:szCs w:val="20"/>
        </w:rPr>
        <w:t xml:space="preserve">BERLIN-Studie Modul 3 </w:t>
      </w:r>
      <w:r w:rsidRPr="00F54580">
        <w:rPr>
          <w:sz w:val="20"/>
          <w:szCs w:val="20"/>
        </w:rPr>
        <w:t>–</w:t>
      </w:r>
      <w:r>
        <w:rPr>
          <w:sz w:val="20"/>
          <w:szCs w:val="20"/>
        </w:rPr>
        <w:t xml:space="preserve"> Stufe </w:t>
      </w:r>
      <w:r w:rsidR="009507E9">
        <w:rPr>
          <w:sz w:val="20"/>
          <w:szCs w:val="20"/>
        </w:rPr>
        <w:t>II</w:t>
      </w:r>
      <w:r>
        <w:rPr>
          <w:sz w:val="20"/>
          <w:szCs w:val="20"/>
        </w:rPr>
        <w:t xml:space="preserve"> der BERLIN-Studie, Kontrollkohorte.</w:t>
      </w:r>
    </w:p>
    <w:p w:rsidR="00147DBD" w:rsidRDefault="00147DBD" w:rsidP="00147DBD">
      <w:pPr>
        <w:spacing w:after="0" w:line="240" w:lineRule="auto"/>
        <w:rPr>
          <w:sz w:val="20"/>
          <w:szCs w:val="20"/>
        </w:rPr>
      </w:pPr>
    </w:p>
    <w:p w:rsidR="003D7772" w:rsidRDefault="003D7772" w:rsidP="00942521">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3D7772" w:rsidRDefault="003D7772" w:rsidP="00942521">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3D7772" w:rsidRDefault="003D7772" w:rsidP="00942521">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9507E9" w:rsidRDefault="009507E9">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rsidR="00942521" w:rsidRPr="004F6987" w:rsidRDefault="004F6987" w:rsidP="00942521">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lastRenderedPageBreak/>
        <w:t xml:space="preserve">Stufe I: </w:t>
      </w:r>
      <w:r w:rsidR="00631991">
        <w:rPr>
          <w:rFonts w:ascii="Times New Roman" w:eastAsia="Times New Roman" w:hAnsi="Times New Roman" w:cs="Times New Roman"/>
          <w:b/>
          <w:bCs/>
          <w:sz w:val="24"/>
          <w:szCs w:val="24"/>
          <w:lang w:eastAsia="de-DE"/>
        </w:rPr>
        <w:t>Übergang von der Grundschule in die neu strukturierte Sekundarstufe</w:t>
      </w:r>
    </w:p>
    <w:p w:rsidR="00942521" w:rsidRDefault="00942521" w:rsidP="00F54580">
      <w:pPr>
        <w:jc w:val="both"/>
      </w:pPr>
      <w:r>
        <w:t xml:space="preserve">Bei den in der Stufe </w:t>
      </w:r>
      <w:r w:rsidR="009507E9">
        <w:t>I</w:t>
      </w:r>
      <w:r>
        <w:t xml:space="preserve"> der BERLIN-Studie</w:t>
      </w:r>
      <w:r w:rsidR="00253886">
        <w:t xml:space="preserve"> (Modul 1)</w:t>
      </w:r>
      <w:r>
        <w:t xml:space="preserve"> untersuchten Schülerinnen und Schüler handelt es sich um den ersten Jahrgang, der das neue Übergangsverfahren </w:t>
      </w:r>
      <w:r w:rsidR="00147DBD">
        <w:t>durchlaufen hat</w:t>
      </w:r>
      <w:r>
        <w:t xml:space="preserve">. Etwa 3500 Schülerinnen und Schüler aus </w:t>
      </w:r>
      <w:r w:rsidR="00F71CE5">
        <w:t xml:space="preserve">87 </w:t>
      </w:r>
      <w:r>
        <w:t xml:space="preserve">zufällig gezogenen Berliner Grundschulen werden von der Jahrgangsstufe 6 bis zur 10. Jahrgangsstufe begleitet. Die </w:t>
      </w:r>
      <w:r w:rsidR="00246E49">
        <w:t xml:space="preserve">Grundschullehrkräfte sowie die Schulleitungen der Grundschulen und der weiterführenden Schulen </w:t>
      </w:r>
      <w:r>
        <w:t xml:space="preserve">sind ebenfalls mit in die Untersuchung einbezogen. Eine zentrale Rolle im Übergangsprozess nehmen die Eltern der Schülerinnen und Schüler ein. Sie </w:t>
      </w:r>
      <w:r w:rsidR="00246E49">
        <w:t xml:space="preserve">wurden </w:t>
      </w:r>
      <w:r>
        <w:t>in der BERLIN-Studie vor, während und nach dem Übergang ihrer Kinder in die weiterführende Schule befragt</w:t>
      </w:r>
      <w:r w:rsidR="00F71CE5">
        <w:t xml:space="preserve"> (vgl. Abbildung 2)</w:t>
      </w:r>
      <w:r>
        <w:t>.</w:t>
      </w:r>
      <w:r w:rsidR="00CA57C8">
        <w:t xml:space="preserve"> </w:t>
      </w:r>
    </w:p>
    <w:p w:rsidR="003D7772" w:rsidRPr="003D7772" w:rsidRDefault="003D7772" w:rsidP="003D7772">
      <w:pPr>
        <w:spacing w:before="100" w:beforeAutospacing="1" w:after="100" w:afterAutospacing="1"/>
        <w:jc w:val="both"/>
      </w:pPr>
      <w:r w:rsidRPr="003D7772">
        <w:t xml:space="preserve">Eine weitere Neuerung im Übergangsverfahren von der Grundschule in die weiteführenden Schulen ist die Verlängerung der Probezeit am Gymnasium von einem halben auf ein volles Schuljahr. Das bedeutet, dass einige Schülerinnen und Schüler am Ende der 7. Jahrgangsstufe vom Gymnasium auf eine Integriere Sekundarschule wechseln und dort ihre Schullaufbahn fortsetzen. Die BERLIN-Studie untersucht die weitere schulische Entwicklung dieser Schülerinnen und Schüler. Die Mehrzahl dieser Berliner Schülerinnen und Schüler werden in Stufe </w:t>
      </w:r>
      <w:r w:rsidR="009507E9">
        <w:t>I</w:t>
      </w:r>
      <w:r w:rsidRPr="003D7772">
        <w:t xml:space="preserve"> der BERLIN-Studie eingegliedert und in die Befragungen der 9. und 10. Jahrgangsstufe integriert. </w:t>
      </w:r>
    </w:p>
    <w:p w:rsidR="003D7772" w:rsidRDefault="00A95BC7" w:rsidP="00F54580">
      <w:pPr>
        <w:jc w:val="both"/>
      </w:pPr>
      <w:r>
        <w:rPr>
          <w:noProof/>
          <w:lang w:eastAsia="de-DE"/>
        </w:rPr>
        <w:drawing>
          <wp:inline distT="0" distB="0" distL="0" distR="0" wp14:anchorId="31AF21BA">
            <wp:extent cx="5875079" cy="3745383"/>
            <wp:effectExtent l="0" t="0" r="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964" cy="3747860"/>
                    </a:xfrm>
                    <a:prstGeom prst="rect">
                      <a:avLst/>
                    </a:prstGeom>
                    <a:noFill/>
                  </pic:spPr>
                </pic:pic>
              </a:graphicData>
            </a:graphic>
          </wp:inline>
        </w:drawing>
      </w:r>
    </w:p>
    <w:p w:rsidR="004F6987" w:rsidRDefault="004F6987" w:rsidP="004F6987">
      <w:pPr>
        <w:pStyle w:val="berschrift5"/>
      </w:pPr>
      <w:r w:rsidRPr="004F6987">
        <w:t xml:space="preserve"> </w:t>
      </w:r>
      <w:r w:rsidR="00F71CE5">
        <w:t>Abbildung 2: Übersicht der Erhebungen</w:t>
      </w:r>
      <w:r>
        <w:t xml:space="preserve"> in Stufe </w:t>
      </w:r>
      <w:r w:rsidR="009507E9">
        <w:t>I</w:t>
      </w:r>
      <w:r>
        <w:t xml:space="preserve"> der BERLIN-Studie</w:t>
      </w:r>
    </w:p>
    <w:p w:rsidR="00F71CE5" w:rsidRDefault="00F71CE5" w:rsidP="004F6987">
      <w:pPr>
        <w:pStyle w:val="StandardWeb"/>
      </w:pPr>
    </w:p>
    <w:p w:rsidR="009507E9" w:rsidRDefault="009507E9" w:rsidP="00632A84">
      <w:pPr>
        <w:jc w:val="both"/>
      </w:pPr>
      <w:r>
        <w:br/>
      </w:r>
    </w:p>
    <w:p w:rsidR="00A95BC7" w:rsidRDefault="00A95BC7" w:rsidP="00632A84">
      <w:pPr>
        <w:jc w:val="both"/>
      </w:pPr>
    </w:p>
    <w:p w:rsidR="00F71CE5" w:rsidRDefault="00F71CE5" w:rsidP="00632A84">
      <w:pPr>
        <w:jc w:val="both"/>
      </w:pPr>
      <w:r w:rsidRPr="00632A84">
        <w:lastRenderedPageBreak/>
        <w:t>Zentrale Fragestellungen der ersten Studienstufe der BERLIN-Studie sind unter anderem:</w:t>
      </w:r>
    </w:p>
    <w:p w:rsidR="00F71CE5" w:rsidRDefault="00F71CE5" w:rsidP="00632A84">
      <w:pPr>
        <w:pStyle w:val="Listenabsatz"/>
        <w:numPr>
          <w:ilvl w:val="0"/>
          <w:numId w:val="12"/>
        </w:numPr>
      </w:pPr>
      <w:r w:rsidRPr="00632A84">
        <w:t>Wie beurteilen Schülerinnen und Schüler, Lehrkräfte und Eltern die aktuellen Neuerungen</w:t>
      </w:r>
      <w:r>
        <w:t xml:space="preserve"> </w:t>
      </w:r>
      <w:r w:rsidRPr="00632A84">
        <w:t xml:space="preserve">im </w:t>
      </w:r>
      <w:r>
        <w:t>Ü</w:t>
      </w:r>
      <w:r w:rsidRPr="00632A84">
        <w:t>bergangsverfahren?</w:t>
      </w:r>
    </w:p>
    <w:p w:rsidR="00F71CE5" w:rsidRDefault="00F71CE5" w:rsidP="00632A84">
      <w:pPr>
        <w:pStyle w:val="Listenabsatz"/>
        <w:numPr>
          <w:ilvl w:val="0"/>
          <w:numId w:val="12"/>
        </w:numPr>
        <w:jc w:val="both"/>
      </w:pPr>
      <w:r w:rsidRPr="00632A84">
        <w:t>In welchem Maße sind Veränderungen bei den elterlichen Aspirationen für den weiteren</w:t>
      </w:r>
      <w:r>
        <w:t xml:space="preserve"> </w:t>
      </w:r>
      <w:r w:rsidRPr="00632A84">
        <w:t>Bildungsweg der Kinder und bei der Vergabe der F</w:t>
      </w:r>
      <w:r>
        <w:t>ö</w:t>
      </w:r>
      <w:r w:rsidRPr="00632A84">
        <w:t>rderprognose durch die Grundschulen</w:t>
      </w:r>
      <w:r>
        <w:t xml:space="preserve"> </w:t>
      </w:r>
      <w:r w:rsidRPr="00632A84">
        <w:t>vor und nach der Systemumstellung beobachtbar?</w:t>
      </w:r>
    </w:p>
    <w:p w:rsidR="00F71CE5" w:rsidRDefault="00F71CE5" w:rsidP="00632A84">
      <w:pPr>
        <w:pStyle w:val="Listenabsatz"/>
        <w:numPr>
          <w:ilvl w:val="0"/>
          <w:numId w:val="12"/>
        </w:numPr>
        <w:jc w:val="both"/>
      </w:pPr>
      <w:r w:rsidRPr="00632A84">
        <w:t>Welche Muster im Einfluss der sozialen und ethnischen Herkunft auf den Übergang</w:t>
      </w:r>
      <w:r>
        <w:t xml:space="preserve"> </w:t>
      </w:r>
      <w:r w:rsidRPr="00632A84">
        <w:t>zeigen sich vor und nach der Systemumstellung?</w:t>
      </w:r>
    </w:p>
    <w:p w:rsidR="00F71CE5" w:rsidRDefault="00F71CE5" w:rsidP="00F71CE5">
      <w:pPr>
        <w:pStyle w:val="Listenabsatz"/>
        <w:numPr>
          <w:ilvl w:val="0"/>
          <w:numId w:val="12"/>
        </w:numPr>
      </w:pPr>
      <w:r w:rsidRPr="00124FA0">
        <w:t>Nach welchen Kriterien treffen die Eltern die Schulwahl und in welchem Maß kann dem</w:t>
      </w:r>
      <w:r>
        <w:t xml:space="preserve"> </w:t>
      </w:r>
      <w:r w:rsidRPr="00124FA0">
        <w:t>Elternwunsch f</w:t>
      </w:r>
      <w:r>
        <w:t>ü</w:t>
      </w:r>
      <w:r w:rsidRPr="00124FA0">
        <w:t>r die weiterf</w:t>
      </w:r>
      <w:r>
        <w:t>ü</w:t>
      </w:r>
      <w:r w:rsidRPr="00124FA0">
        <w:t>hrende Schule (Einzelschule) entsprochen werden?</w:t>
      </w:r>
    </w:p>
    <w:p w:rsidR="00F71CE5" w:rsidRPr="00632A84" w:rsidRDefault="00F71CE5" w:rsidP="00632A84">
      <w:pPr>
        <w:pStyle w:val="Listenabsatz"/>
        <w:numPr>
          <w:ilvl w:val="0"/>
          <w:numId w:val="12"/>
        </w:numPr>
        <w:jc w:val="both"/>
      </w:pPr>
      <w:r>
        <w:t>W</w:t>
      </w:r>
      <w:r w:rsidRPr="00B6472E">
        <w:t>elche Entwicklungsverläufe zeigen sich bei Schülerinnen und Schülern, die ihre</w:t>
      </w:r>
      <w:r>
        <w:t xml:space="preserve"> weiterführende </w:t>
      </w:r>
      <w:r w:rsidRPr="00B6472E">
        <w:t>Schullaufbahn an einem Gymnasium beginnen und sie nach der 7. Klasse an einer Integrierten</w:t>
      </w:r>
      <w:r>
        <w:t xml:space="preserve"> </w:t>
      </w:r>
      <w:r w:rsidRPr="00632A84">
        <w:t>Sekundarschule fortsetzen?</w:t>
      </w:r>
      <w:r w:rsidRPr="004F6987">
        <w:rPr>
          <w:rFonts w:ascii="Times New Roman" w:eastAsia="Times New Roman" w:hAnsi="Times New Roman" w:cs="Times New Roman"/>
          <w:sz w:val="24"/>
          <w:szCs w:val="24"/>
          <w:lang w:eastAsia="de-DE"/>
        </w:rPr>
        <w:t> </w:t>
      </w:r>
    </w:p>
    <w:p w:rsidR="00CA57C8" w:rsidRDefault="00CA57C8" w:rsidP="00CA57C8">
      <w:pPr>
        <w:jc w:val="both"/>
      </w:pPr>
      <w:r w:rsidRPr="00632A84">
        <w:t xml:space="preserve">Die Befunde der Stufe </w:t>
      </w:r>
      <w:r w:rsidR="009507E9">
        <w:t>I</w:t>
      </w:r>
      <w:r w:rsidRPr="00632A84">
        <w:t xml:space="preserve"> der BERLIN-Studie lassen sich in zentralen Punkten zu den Ergebnissen früherer Studien zum Übergang </w:t>
      </w:r>
      <w:r w:rsidR="00631991">
        <w:t xml:space="preserve">(z.B. ELEMENT-Studie) </w:t>
      </w:r>
      <w:r w:rsidRPr="00632A84">
        <w:t>in Beziehung setzen, so dass es möglich ist, den Übergangsprozess und dessen Konsequenzen im bisherigen und im neuen System vergleichend gegenüberzustellen.</w:t>
      </w:r>
    </w:p>
    <w:p w:rsidR="00834BCC" w:rsidRPr="00253886" w:rsidRDefault="00834BCC" w:rsidP="00834BCC">
      <w:pPr>
        <w:spacing w:before="100" w:beforeAutospacing="1" w:after="100" w:afterAutospacing="1" w:line="240" w:lineRule="auto"/>
        <w:jc w:val="both"/>
        <w:outlineLvl w:val="4"/>
        <w:rPr>
          <w:rFonts w:ascii="Times New Roman" w:eastAsia="Times New Roman" w:hAnsi="Times New Roman" w:cs="Times New Roman"/>
          <w:b/>
          <w:bCs/>
          <w:sz w:val="24"/>
          <w:szCs w:val="24"/>
          <w:lang w:eastAsia="de-DE"/>
        </w:rPr>
      </w:pPr>
      <w:r w:rsidRPr="00253886">
        <w:rPr>
          <w:rStyle w:val="Fett"/>
          <w:b w:val="0"/>
        </w:rPr>
        <w:t>Am 10. Juni 2013 wurden die ersten Ergebnisse der BERLIN-Studie zur Bewertung der Schulstrukturreform und zum neuen Übergangsverfahren in die weiterführenden Schulen der Öffentlichkeit vorgestellt. Eine Zusammenfassung der zentralen Befunde finden Sie hier (</w:t>
      </w:r>
      <w:hyperlink r:id="rId8" w:tooltip="UNDEFINED, BERLIN_Studie_Zusammenfassung.pdf, 460 KB" w:history="1">
        <w:r w:rsidRPr="00253886">
          <w:rPr>
            <w:rStyle w:val="Hyperlink"/>
            <w:b/>
            <w:bCs/>
          </w:rPr>
          <w:t>BERLIN-Studie Zusammenfassung</w:t>
        </w:r>
      </w:hyperlink>
      <w:r w:rsidRPr="00253886">
        <w:rPr>
          <w:rStyle w:val="Fett"/>
          <w:b w:val="0"/>
        </w:rPr>
        <w:t>).</w:t>
      </w:r>
    </w:p>
    <w:p w:rsidR="00834BCC" w:rsidRDefault="00834BCC" w:rsidP="00CA57C8">
      <w:pPr>
        <w:jc w:val="both"/>
      </w:pPr>
    </w:p>
    <w:p w:rsidR="00CA57C8" w:rsidRPr="00632A84" w:rsidRDefault="00CA57C8" w:rsidP="00632A84">
      <w:pPr>
        <w:ind w:left="360"/>
        <w:jc w:val="both"/>
      </w:pPr>
    </w:p>
    <w:p w:rsidR="009507E9" w:rsidRDefault="009507E9">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rsidR="004F6987" w:rsidRPr="004F6987" w:rsidRDefault="004F6987" w:rsidP="00333B27">
      <w:pPr>
        <w:rPr>
          <w:rFonts w:ascii="Times New Roman" w:eastAsia="Times New Roman" w:hAnsi="Times New Roman" w:cs="Times New Roman"/>
          <w:b/>
          <w:bCs/>
          <w:sz w:val="24"/>
          <w:szCs w:val="24"/>
          <w:lang w:eastAsia="de-DE"/>
        </w:rPr>
      </w:pPr>
      <w:r w:rsidRPr="004F6987">
        <w:rPr>
          <w:rFonts w:ascii="Times New Roman" w:eastAsia="Times New Roman" w:hAnsi="Times New Roman" w:cs="Times New Roman"/>
          <w:b/>
          <w:bCs/>
          <w:sz w:val="24"/>
          <w:szCs w:val="24"/>
          <w:lang w:eastAsia="de-DE"/>
        </w:rPr>
        <w:lastRenderedPageBreak/>
        <w:t xml:space="preserve">Stufe II: </w:t>
      </w:r>
      <w:r w:rsidR="0034154F">
        <w:rPr>
          <w:rFonts w:ascii="Times New Roman" w:eastAsia="Times New Roman" w:hAnsi="Times New Roman" w:cs="Times New Roman"/>
          <w:b/>
          <w:bCs/>
          <w:sz w:val="24"/>
          <w:szCs w:val="24"/>
          <w:lang w:eastAsia="de-DE"/>
        </w:rPr>
        <w:t>Bildungserträge am Ende der Sekundarstufe I und Übergang in gymnasiale Oberstufe und berufliche Ausbildung</w:t>
      </w:r>
    </w:p>
    <w:p w:rsidR="004F6987" w:rsidRPr="00032D0F" w:rsidRDefault="0034154F" w:rsidP="00032D0F">
      <w:pPr>
        <w:jc w:val="both"/>
      </w:pPr>
      <w:r w:rsidRPr="00032D0F">
        <w:t>In</w:t>
      </w:r>
      <w:r w:rsidR="004F6987" w:rsidRPr="00032D0F">
        <w:t xml:space="preserve"> der </w:t>
      </w:r>
      <w:r w:rsidRPr="00032D0F">
        <w:t xml:space="preserve">Studienstufe </w:t>
      </w:r>
      <w:r w:rsidR="004F6987" w:rsidRPr="00032D0F">
        <w:t xml:space="preserve">II der BERLIN-Studie </w:t>
      </w:r>
      <w:r w:rsidRPr="00032D0F">
        <w:t xml:space="preserve">werden </w:t>
      </w:r>
      <w:r w:rsidR="004F6987" w:rsidRPr="00032D0F">
        <w:t xml:space="preserve">die Bildungserträge der 15-Jährigen bzw. Schülerinnen und Schüler der 9. Jahrgangsstufe </w:t>
      </w:r>
      <w:r w:rsidRPr="00032D0F">
        <w:t>sowie deren</w:t>
      </w:r>
      <w:r w:rsidR="004F6987" w:rsidRPr="00032D0F">
        <w:t xml:space="preserve"> weitere Entwicklung</w:t>
      </w:r>
      <w:r w:rsidRPr="00032D0F">
        <w:t xml:space="preserve"> in</w:t>
      </w:r>
      <w:r w:rsidR="00032D0F">
        <w:t xml:space="preserve"> der gymnasialen</w:t>
      </w:r>
      <w:r w:rsidRPr="00032D0F">
        <w:t xml:space="preserve"> Oberstufe</w:t>
      </w:r>
      <w:r w:rsidR="004F6987" w:rsidRPr="00032D0F">
        <w:t xml:space="preserve"> bzw. </w:t>
      </w:r>
      <w:r w:rsidR="00032D0F">
        <w:t xml:space="preserve">in der </w:t>
      </w:r>
      <w:r w:rsidR="004F6987" w:rsidRPr="00032D0F">
        <w:t>berufliche</w:t>
      </w:r>
      <w:r w:rsidR="00032D0F">
        <w:t>n</w:t>
      </w:r>
      <w:r w:rsidR="004F6987" w:rsidRPr="00032D0F">
        <w:t xml:space="preserve"> Ausbildung </w:t>
      </w:r>
      <w:r w:rsidRPr="00032D0F">
        <w:t>untersucht</w:t>
      </w:r>
      <w:r w:rsidR="004F6987" w:rsidRPr="00032D0F">
        <w:t>. Dazu wird eine Schülerkohorte, die noch das bisherige Schulsystem durchläuft (Kohorte 1</w:t>
      </w:r>
      <w:r w:rsidR="00253886" w:rsidRPr="00032D0F">
        <w:t>, Modul 3</w:t>
      </w:r>
      <w:r w:rsidR="004F6987" w:rsidRPr="00032D0F">
        <w:t>), einer weiteren Schülerkohorte gegenübergestellt, die bereits die neu gestaltete Sekundarstufe besucht (Kohorte 2</w:t>
      </w:r>
      <w:r w:rsidR="00253886" w:rsidRPr="00032D0F">
        <w:t>, Modul 2</w:t>
      </w:r>
      <w:r w:rsidR="004F6987" w:rsidRPr="00032D0F">
        <w:t xml:space="preserve">). </w:t>
      </w:r>
    </w:p>
    <w:p w:rsidR="00EC1594" w:rsidRPr="004E6331" w:rsidRDefault="004F6987" w:rsidP="00032D0F">
      <w:pPr>
        <w:jc w:val="both"/>
      </w:pPr>
      <w:r w:rsidRPr="00032D0F">
        <w:t>Die Untersuchung von Kohorte 1</w:t>
      </w:r>
      <w:r w:rsidR="009405CE">
        <w:t xml:space="preserve"> (Modul 3)</w:t>
      </w:r>
      <w:r w:rsidRPr="004E6331">
        <w:t xml:space="preserve"> </w:t>
      </w:r>
      <w:r w:rsidR="0034154F" w:rsidRPr="004E6331">
        <w:t xml:space="preserve">begann </w:t>
      </w:r>
      <w:r w:rsidRPr="004E6331">
        <w:t xml:space="preserve">zum Ende des Schuljahres 2010/11. Aus 130 zufällig gezogenen Berliner weiterführenden Schulen </w:t>
      </w:r>
      <w:r w:rsidR="0034154F" w:rsidRPr="004E6331">
        <w:t xml:space="preserve">wurden </w:t>
      </w:r>
      <w:r w:rsidRPr="004E6331">
        <w:t xml:space="preserve">4500 </w:t>
      </w:r>
      <w:r w:rsidR="00EC1594" w:rsidRPr="004E6331">
        <w:t>Neuntklässlerinnen und Neuntklässler bzw. 15-Jährige</w:t>
      </w:r>
      <w:r w:rsidRPr="004E6331">
        <w:t xml:space="preserve"> getestet und befragt. </w:t>
      </w:r>
      <w:r w:rsidR="0034154F" w:rsidRPr="004E6331">
        <w:t xml:space="preserve">Eine weitere </w:t>
      </w:r>
      <w:r w:rsidR="00EC1594" w:rsidRPr="004E6331">
        <w:t xml:space="preserve">Testung und </w:t>
      </w:r>
      <w:r w:rsidRPr="004E6331">
        <w:t xml:space="preserve">Befragung </w:t>
      </w:r>
      <w:r w:rsidR="0034154F" w:rsidRPr="004E6331">
        <w:t xml:space="preserve">erfolgte </w:t>
      </w:r>
      <w:r w:rsidRPr="004E6331">
        <w:t>am Ende der 10. Jahrgangsstufe</w:t>
      </w:r>
      <w:r w:rsidR="00EC1594" w:rsidRPr="004E6331">
        <w:t>. V</w:t>
      </w:r>
      <w:r w:rsidR="00851809" w:rsidRPr="004E6331">
        <w:t xml:space="preserve">ier Monate nach Ende der 10. Jahrgangsstufe </w:t>
      </w:r>
      <w:r w:rsidR="00EC1594" w:rsidRPr="004E6331">
        <w:t xml:space="preserve">wurden </w:t>
      </w:r>
      <w:r w:rsidR="00851809" w:rsidRPr="004E6331">
        <w:t>alle Schülerinnen und Schüler, die eine nicht-gymnasiale Schulform besucht haben</w:t>
      </w:r>
      <w:r w:rsidR="00EC1594" w:rsidRPr="004E6331">
        <w:t>,</w:t>
      </w:r>
      <w:r w:rsidR="00851809" w:rsidRPr="004E6331">
        <w:t xml:space="preserve"> auf postalischem Weg</w:t>
      </w:r>
      <w:r w:rsidR="004E6331">
        <w:t xml:space="preserve"> zu ihrer Schul- und Ausbildungssituation</w:t>
      </w:r>
      <w:r w:rsidRPr="004E6331">
        <w:t xml:space="preserve"> </w:t>
      </w:r>
      <w:r w:rsidR="00EC1594" w:rsidRPr="004E6331">
        <w:t xml:space="preserve">befragt. </w:t>
      </w:r>
      <w:r w:rsidR="004E6331">
        <w:t>Eine weitere Befragung erfolgt in den Schulen im Jahr des Abiturs (</w:t>
      </w:r>
      <w:r w:rsidR="00EC1594" w:rsidRPr="004E6331">
        <w:t xml:space="preserve">2014 </w:t>
      </w:r>
      <w:r w:rsidR="004E6331">
        <w:t xml:space="preserve">in der </w:t>
      </w:r>
      <w:r w:rsidR="00EC1594" w:rsidRPr="004E6331">
        <w:t>Jahrgangsstufe 12</w:t>
      </w:r>
      <w:r w:rsidR="004E6331">
        <w:t xml:space="preserve"> an den Gymnasien</w:t>
      </w:r>
      <w:r w:rsidR="00EC1594" w:rsidRPr="004E6331">
        <w:t xml:space="preserve"> </w:t>
      </w:r>
      <w:r w:rsidR="004E6331">
        <w:t>bzw.</w:t>
      </w:r>
      <w:r w:rsidR="00EC1594" w:rsidRPr="004E6331">
        <w:t xml:space="preserve"> 2015 </w:t>
      </w:r>
      <w:r w:rsidR="004E6331">
        <w:t xml:space="preserve">in der Jahrgangsstufe 13 an den </w:t>
      </w:r>
      <w:r w:rsidR="004E6331" w:rsidRPr="004E6331">
        <w:t>Integrierte</w:t>
      </w:r>
      <w:r w:rsidR="004E6331">
        <w:t xml:space="preserve">n Sekundarschulen. </w:t>
      </w:r>
      <w:r w:rsidR="00EC1594" w:rsidRPr="004E6331">
        <w:t>Schülerinnen und Schüler, die die Schule zu diesen Zeitpunkten bereits verlassen haben, werden postalisch befragt.</w:t>
      </w:r>
      <w:r w:rsidR="004E6331">
        <w:t xml:space="preserve"> Im Rahmen der Modul-3</w:t>
      </w:r>
      <w:r w:rsidR="00EC1594" w:rsidRPr="004E6331">
        <w:t xml:space="preserve">-Untersuchung wurden zudem </w:t>
      </w:r>
      <w:r w:rsidR="00851809" w:rsidRPr="004E6331">
        <w:t xml:space="preserve">die Schulleitungen </w:t>
      </w:r>
      <w:r w:rsidR="00EC1594" w:rsidRPr="004E6331">
        <w:t>der weiterführenden Schulen befragt</w:t>
      </w:r>
      <w:r w:rsidR="00851809" w:rsidRPr="004E6331">
        <w:t>.</w:t>
      </w:r>
    </w:p>
    <w:p w:rsidR="004F6987" w:rsidRDefault="004F6987" w:rsidP="00032D0F">
      <w:pPr>
        <w:jc w:val="both"/>
      </w:pPr>
      <w:r w:rsidRPr="004E6331">
        <w:t xml:space="preserve">Die </w:t>
      </w:r>
      <w:r w:rsidR="009405CE">
        <w:t>Untersuchung</w:t>
      </w:r>
      <w:r w:rsidR="009405CE" w:rsidRPr="004E6331">
        <w:t xml:space="preserve"> </w:t>
      </w:r>
      <w:r w:rsidRPr="004E6331">
        <w:t>der Kohorte 2</w:t>
      </w:r>
      <w:r w:rsidR="009405CE">
        <w:t xml:space="preserve"> (Modul 2)</w:t>
      </w:r>
      <w:r w:rsidRPr="004E6331">
        <w:t xml:space="preserve"> </w:t>
      </w:r>
      <w:r w:rsidR="009405CE">
        <w:t>erfolgt</w:t>
      </w:r>
      <w:r w:rsidRPr="004E6331">
        <w:t xml:space="preserve"> mit identischen Instrumenten</w:t>
      </w:r>
      <w:r w:rsidR="009507E9">
        <w:t xml:space="preserve"> und im gleichen Erhebungsrhythmus</w:t>
      </w:r>
      <w:r w:rsidRPr="004E6331">
        <w:t xml:space="preserve"> </w:t>
      </w:r>
      <w:r w:rsidR="009405CE">
        <w:t>wie in</w:t>
      </w:r>
      <w:r w:rsidRPr="004E6331">
        <w:t xml:space="preserve"> Kohorte 1</w:t>
      </w:r>
      <w:r w:rsidR="009507E9">
        <w:t xml:space="preserve">, </w:t>
      </w:r>
      <w:r w:rsidRPr="004E6331">
        <w:t>beginnen</w:t>
      </w:r>
      <w:r w:rsidR="00253886" w:rsidRPr="004E6331">
        <w:t>d</w:t>
      </w:r>
      <w:r w:rsidRPr="004E6331">
        <w:t xml:space="preserve"> </w:t>
      </w:r>
      <w:r w:rsidR="009405CE">
        <w:t>zum Schuljahresende</w:t>
      </w:r>
      <w:r w:rsidRPr="004E6331">
        <w:t xml:space="preserve"> 2013/14. </w:t>
      </w:r>
      <w:r w:rsidR="009405CE" w:rsidRPr="004E6331">
        <w:t>Die Erhebungen werden im Jahr 2018 abgeschlossen sein.</w:t>
      </w:r>
    </w:p>
    <w:p w:rsidR="004E6331" w:rsidRPr="004E6331" w:rsidRDefault="00A95BC7" w:rsidP="00032D0F">
      <w:pPr>
        <w:jc w:val="both"/>
      </w:pPr>
      <w:r>
        <w:rPr>
          <w:noProof/>
          <w:lang w:eastAsia="de-DE"/>
        </w:rPr>
        <w:drawing>
          <wp:inline distT="0" distB="0" distL="0" distR="0" wp14:anchorId="451DC711">
            <wp:extent cx="5779008" cy="35737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290" cy="3573904"/>
                    </a:xfrm>
                    <a:prstGeom prst="rect">
                      <a:avLst/>
                    </a:prstGeom>
                    <a:noFill/>
                  </pic:spPr>
                </pic:pic>
              </a:graphicData>
            </a:graphic>
          </wp:inline>
        </w:drawing>
      </w:r>
    </w:p>
    <w:p w:rsidR="009405CE" w:rsidRDefault="009405CE" w:rsidP="009405CE">
      <w:pPr>
        <w:pStyle w:val="berschrift5"/>
      </w:pPr>
      <w:r>
        <w:t>Abbildung 3: Übersicht der Erhebungen in Stufe I</w:t>
      </w:r>
      <w:r w:rsidR="00AF1A96">
        <w:t>I</w:t>
      </w:r>
      <w:r>
        <w:t xml:space="preserve"> der BERLIN-Studie</w:t>
      </w:r>
    </w:p>
    <w:p w:rsidR="009507E9" w:rsidRDefault="009507E9" w:rsidP="00AF1A96">
      <w:pPr>
        <w:jc w:val="both"/>
      </w:pPr>
    </w:p>
    <w:p w:rsidR="009507E9" w:rsidRDefault="009507E9">
      <w:r>
        <w:br w:type="page"/>
      </w:r>
    </w:p>
    <w:p w:rsidR="00851809" w:rsidRPr="00851809" w:rsidRDefault="00851809" w:rsidP="00AF1A96">
      <w:pPr>
        <w:jc w:val="both"/>
      </w:pPr>
      <w:r w:rsidRPr="00851809">
        <w:lastRenderedPageBreak/>
        <w:t>Die zentralen Forschungsfragen für Stufe  der BERLIN-Studie sind:</w:t>
      </w:r>
    </w:p>
    <w:p w:rsidR="00BC7E07" w:rsidRDefault="00BC7E07" w:rsidP="00BC7E07">
      <w:pPr>
        <w:pStyle w:val="Listenabsatz"/>
        <w:numPr>
          <w:ilvl w:val="0"/>
          <w:numId w:val="13"/>
        </w:numPr>
        <w:jc w:val="both"/>
      </w:pPr>
      <w:r w:rsidRPr="00B815C1">
        <w:t>Welche Veränderungen ergeben sich infolge der Systemumstellung für das mittlere Leistungsniveau und die Leistungsstreuung von Neuntkl</w:t>
      </w:r>
      <w:r>
        <w:t>ä</w:t>
      </w:r>
      <w:r w:rsidRPr="00B815C1">
        <w:t>sslern bzw. 15-J</w:t>
      </w:r>
      <w:r>
        <w:t>ä</w:t>
      </w:r>
      <w:r w:rsidRPr="00B815C1">
        <w:t>hrigen?</w:t>
      </w:r>
    </w:p>
    <w:p w:rsidR="00BC7E07" w:rsidRDefault="00BC7E07" w:rsidP="00BC7E07">
      <w:pPr>
        <w:pStyle w:val="Listenabsatz"/>
        <w:numPr>
          <w:ilvl w:val="0"/>
          <w:numId w:val="13"/>
        </w:numPr>
        <w:jc w:val="both"/>
      </w:pPr>
      <w:r w:rsidRPr="00B815C1">
        <w:t>In welchem Maß gelingt es, die Gruppe der Schülerinnen und Schüler, die in den Basiskompetenzen</w:t>
      </w:r>
      <w:r>
        <w:t xml:space="preserve"> </w:t>
      </w:r>
      <w:r w:rsidRPr="00B815C1">
        <w:t>Leistungen auf oder unter der Kompetenzstufe I erbringen, zu reduzieren?</w:t>
      </w:r>
    </w:p>
    <w:p w:rsidR="00BC7E07" w:rsidRDefault="00BC7E07" w:rsidP="00BC7E07">
      <w:pPr>
        <w:pStyle w:val="Listenabsatz"/>
        <w:numPr>
          <w:ilvl w:val="0"/>
          <w:numId w:val="13"/>
        </w:numPr>
        <w:jc w:val="both"/>
      </w:pPr>
      <w:r w:rsidRPr="00B815C1">
        <w:t>Ist ein R</w:t>
      </w:r>
      <w:r>
        <w:t>ü</w:t>
      </w:r>
      <w:r w:rsidRPr="00B815C1">
        <w:t>ckgang der Kopplung von Herkunftsmerkmalen und schulischem Leistungsniveau</w:t>
      </w:r>
      <w:r>
        <w:t xml:space="preserve"> </w:t>
      </w:r>
      <w:r w:rsidRPr="00B815C1">
        <w:t>feststellbar?</w:t>
      </w:r>
    </w:p>
    <w:p w:rsidR="00BC7E07" w:rsidRDefault="00BC7E07" w:rsidP="00BC7E07">
      <w:pPr>
        <w:pStyle w:val="Listenabsatz"/>
        <w:numPr>
          <w:ilvl w:val="0"/>
          <w:numId w:val="13"/>
        </w:numPr>
        <w:jc w:val="both"/>
      </w:pPr>
      <w:r w:rsidRPr="00B815C1">
        <w:t xml:space="preserve">Kommt es zu einem Rückgang der </w:t>
      </w:r>
      <w:proofErr w:type="spellStart"/>
      <w:r w:rsidRPr="00B815C1">
        <w:t>Schulabbrecherquoten</w:t>
      </w:r>
      <w:proofErr w:type="spellEnd"/>
      <w:r w:rsidRPr="00B815C1">
        <w:t xml:space="preserve"> und zu einer Erhöhung des</w:t>
      </w:r>
      <w:r>
        <w:t xml:space="preserve"> </w:t>
      </w:r>
      <w:r w:rsidRPr="00B815C1">
        <w:t>Anteils der Sch</w:t>
      </w:r>
      <w:r>
        <w:t>ü</w:t>
      </w:r>
      <w:r w:rsidRPr="00B815C1">
        <w:t>lerinnen und Sch</w:t>
      </w:r>
      <w:r>
        <w:t>ü</w:t>
      </w:r>
      <w:r w:rsidRPr="00B815C1">
        <w:t>ler mit mittlerem Schulabschluss und Hochschulzugangsberechtigung?</w:t>
      </w:r>
    </w:p>
    <w:p w:rsidR="00BC7E07" w:rsidRDefault="00BC7E07" w:rsidP="00BC7E07">
      <w:pPr>
        <w:pStyle w:val="Listenabsatz"/>
        <w:numPr>
          <w:ilvl w:val="0"/>
          <w:numId w:val="13"/>
        </w:numPr>
        <w:jc w:val="both"/>
      </w:pPr>
      <w:r>
        <w:t>L</w:t>
      </w:r>
      <w:r w:rsidRPr="00B815C1">
        <w:t>ässt sich ein Rückgang sozialer Disparitäten beim Übergang in die gymnasiale Oberstufe</w:t>
      </w:r>
      <w:r>
        <w:t xml:space="preserve"> </w:t>
      </w:r>
      <w:r w:rsidRPr="00B815C1">
        <w:t>feststellen?</w:t>
      </w:r>
    </w:p>
    <w:p w:rsidR="00BC7E07" w:rsidRDefault="00BC7E07" w:rsidP="00BC7E07">
      <w:pPr>
        <w:pStyle w:val="Listenabsatz"/>
        <w:numPr>
          <w:ilvl w:val="0"/>
          <w:numId w:val="13"/>
        </w:numPr>
        <w:jc w:val="both"/>
      </w:pPr>
      <w:r w:rsidRPr="00B815C1">
        <w:t>Welche Veränderungen ergeben sich für die Abschlusserwartungen zum Ende der Sekundarstufe</w:t>
      </w:r>
      <w:r>
        <w:t xml:space="preserve"> </w:t>
      </w:r>
      <w:r w:rsidRPr="00B815C1">
        <w:t>II, die weiteren Berufsperspektiven sowie die Berufs- oder Studienwahlen</w:t>
      </w:r>
      <w:r>
        <w:t xml:space="preserve"> </w:t>
      </w:r>
      <w:r w:rsidRPr="00B815C1">
        <w:t>von Sch</w:t>
      </w:r>
      <w:r>
        <w:t>ü</w:t>
      </w:r>
      <w:r w:rsidRPr="00B815C1">
        <w:t>lerinnen und Sch</w:t>
      </w:r>
      <w:r>
        <w:t>ü</w:t>
      </w:r>
      <w:r w:rsidRPr="00B815C1">
        <w:t>lern, die einen zur Hochschulreife f</w:t>
      </w:r>
      <w:r>
        <w:t>ü</w:t>
      </w:r>
      <w:r w:rsidRPr="00B815C1">
        <w:t>hrenden Bildungsgang</w:t>
      </w:r>
      <w:r>
        <w:t xml:space="preserve"> </w:t>
      </w:r>
      <w:r w:rsidRPr="00B815C1">
        <w:t>besuchen?</w:t>
      </w:r>
    </w:p>
    <w:p w:rsidR="00BC7E07" w:rsidRDefault="00BC7E07" w:rsidP="00BC7E07">
      <w:pPr>
        <w:pStyle w:val="Listenabsatz"/>
        <w:numPr>
          <w:ilvl w:val="0"/>
          <w:numId w:val="13"/>
        </w:numPr>
        <w:jc w:val="both"/>
      </w:pPr>
      <w:r w:rsidRPr="00B815C1">
        <w:t>Wie erfolgreich verläuft der Übergang in die Berufsausbildung und welche sozialen und</w:t>
      </w:r>
      <w:r>
        <w:t xml:space="preserve"> </w:t>
      </w:r>
      <w:r w:rsidRPr="00B815C1">
        <w:t>ethnischen Disparit</w:t>
      </w:r>
      <w:r>
        <w:t>ä</w:t>
      </w:r>
      <w:r w:rsidRPr="00B815C1">
        <w:t>ten treten dabei auf?</w:t>
      </w:r>
    </w:p>
    <w:p w:rsidR="003478D9" w:rsidRPr="00AF1A96" w:rsidRDefault="00253886" w:rsidP="00AF1A96">
      <w:pPr>
        <w:jc w:val="both"/>
      </w:pPr>
      <w:r w:rsidRPr="00AF1A96">
        <w:t xml:space="preserve">Das Design der BERLIN-Studie ermöglicht, dass ein Teil der Schülerinnen und Schüler, die in Stufe I seit Ende der 6. Jahrgangsstufe untersucht werden, </w:t>
      </w:r>
      <w:r w:rsidR="002956AD" w:rsidRPr="00AF1A96">
        <w:t xml:space="preserve">in Stufe II </w:t>
      </w:r>
      <w:r w:rsidR="00414B12" w:rsidRPr="00AF1A96">
        <w:t>zu integrieren</w:t>
      </w:r>
      <w:r w:rsidR="002956AD" w:rsidRPr="00AF1A96">
        <w:t xml:space="preserve">. Sie bilden eine Teilkohorte der Kohorte 2, so dass für diese Schülerinnen und Schüler ein Längsschnitt vom Ende der Grundschule bis zum Ende der gymnasialen Oberstufe </w:t>
      </w:r>
      <w:r w:rsidR="00414B12" w:rsidRPr="00AF1A96">
        <w:t>bzw.</w:t>
      </w:r>
      <w:r w:rsidR="002956AD" w:rsidRPr="00AF1A96">
        <w:t xml:space="preserve"> bis </w:t>
      </w:r>
      <w:r w:rsidR="00631991">
        <w:t xml:space="preserve">in </w:t>
      </w:r>
      <w:r w:rsidR="002956AD" w:rsidRPr="00AF1A96">
        <w:t>die</w:t>
      </w:r>
      <w:r w:rsidR="00414B12" w:rsidRPr="00AF1A96">
        <w:t xml:space="preserve"> berufliche</w:t>
      </w:r>
      <w:r w:rsidR="002956AD" w:rsidRPr="00AF1A96">
        <w:t xml:space="preserve"> Ausbildung vorlieg</w:t>
      </w:r>
      <w:r w:rsidR="00414B12" w:rsidRPr="00AF1A96">
        <w:t>en wird</w:t>
      </w:r>
      <w:r w:rsidR="002956AD" w:rsidRPr="00AF1A96">
        <w:t>.</w:t>
      </w:r>
      <w:r w:rsidR="00631991">
        <w:t xml:space="preserve"> Durch den Einsatz von Leistungstests aus der PISA-Studie</w:t>
      </w:r>
      <w:r w:rsidR="008846DF">
        <w:t xml:space="preserve"> (Mathematik, Leseverstehen und Naturwissenschaft) und den</w:t>
      </w:r>
      <w:r w:rsidR="00631991">
        <w:t xml:space="preserve"> Ländervergleichsuntersuchungen der Nationalen Bildungsstandards für die Sekundarstufe I</w:t>
      </w:r>
      <w:r w:rsidR="008846DF">
        <w:t xml:space="preserve"> (Englisch)</w:t>
      </w:r>
      <w:r w:rsidR="00631991">
        <w:t xml:space="preserve"> lassen sich die Leistungen der Schülerinnen und Schüler der BERLIN-Studie auch mit den Ergebnissen anderer Schulleistungsstudien in Beziehung setzen.</w:t>
      </w:r>
    </w:p>
    <w:p w:rsidR="00253886" w:rsidRDefault="00253886" w:rsidP="003478D9">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0E0A2D" w:rsidRDefault="000E0A2D">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rsidR="003478D9" w:rsidRDefault="003478D9" w:rsidP="003478D9">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sidRPr="003478D9">
        <w:rPr>
          <w:rFonts w:ascii="Times New Roman" w:eastAsia="Times New Roman" w:hAnsi="Times New Roman" w:cs="Times New Roman"/>
          <w:b/>
          <w:bCs/>
          <w:sz w:val="24"/>
          <w:szCs w:val="24"/>
          <w:lang w:eastAsia="de-DE"/>
        </w:rPr>
        <w:lastRenderedPageBreak/>
        <w:t>Publikationen</w:t>
      </w:r>
    </w:p>
    <w:p w:rsidR="003478D9" w:rsidRPr="00AF1A96" w:rsidRDefault="009507E9" w:rsidP="003478D9">
      <w:pPr>
        <w:spacing w:before="100" w:beforeAutospacing="1" w:after="100" w:afterAutospacing="1" w:line="240" w:lineRule="auto"/>
        <w:jc w:val="both"/>
        <w:outlineLvl w:val="4"/>
      </w:pPr>
      <w:r w:rsidRPr="009507E9">
        <w:rPr>
          <w:noProof/>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979805" cy="1235710"/>
            <wp:effectExtent l="0" t="0" r="0" b="2540"/>
            <wp:wrapTight wrapText="bothSides">
              <wp:wrapPolygon edited="0">
                <wp:start x="0" y="0"/>
                <wp:lineTo x="0" y="21311"/>
                <wp:lineTo x="20998" y="21311"/>
                <wp:lineTo x="20998" y="0"/>
                <wp:lineTo x="0" y="0"/>
              </wp:wrapPolygon>
            </wp:wrapTight>
            <wp:docPr id="12" name="Grafik 11"/>
            <wp:cNvGraphicFramePr/>
            <a:graphic xmlns:a="http://schemas.openxmlformats.org/drawingml/2006/main">
              <a:graphicData uri="http://schemas.openxmlformats.org/drawingml/2006/picture">
                <pic:pic xmlns:pic="http://schemas.openxmlformats.org/drawingml/2006/picture">
                  <pic:nvPicPr>
                    <pic:cNvPr id="12" name="Grafik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80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8D9" w:rsidRPr="00AF1A96">
        <w:t xml:space="preserve">Maaz, K., Baumert, J., Neumann, M., Becker, M., Dumont, H. (2013). Die Berliner Schulstrukturreform. Bewertung durch die beteiligten Akteure und Konsequenzen des neuen Übergangsverfahrens von der Grundschule in die weiterführenden Schulen. Münster: </w:t>
      </w:r>
      <w:proofErr w:type="spellStart"/>
      <w:r w:rsidR="003478D9" w:rsidRPr="00AF1A96">
        <w:t>Waxmann</w:t>
      </w:r>
      <w:proofErr w:type="spellEnd"/>
      <w:r w:rsidR="003478D9" w:rsidRPr="00AF1A96">
        <w:t>.</w:t>
      </w:r>
    </w:p>
    <w:p w:rsidR="009507E9" w:rsidRDefault="009507E9" w:rsidP="003478D9">
      <w:pPr>
        <w:spacing w:before="100" w:beforeAutospacing="1" w:after="100" w:afterAutospacing="1" w:line="240" w:lineRule="auto"/>
        <w:jc w:val="both"/>
        <w:outlineLvl w:val="4"/>
        <w:rPr>
          <w:rStyle w:val="Fett"/>
          <w:b w:val="0"/>
        </w:rPr>
      </w:pPr>
    </w:p>
    <w:p w:rsidR="009507E9" w:rsidRDefault="009507E9" w:rsidP="003478D9">
      <w:pPr>
        <w:spacing w:before="100" w:beforeAutospacing="1" w:after="100" w:afterAutospacing="1" w:line="240" w:lineRule="auto"/>
        <w:jc w:val="both"/>
        <w:outlineLvl w:val="4"/>
        <w:rPr>
          <w:rStyle w:val="Fett"/>
          <w:b w:val="0"/>
        </w:rPr>
      </w:pPr>
    </w:p>
    <w:p w:rsidR="00253886" w:rsidRDefault="00253886" w:rsidP="00453959">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3478D9" w:rsidRPr="00453959" w:rsidRDefault="00253886" w:rsidP="00453959">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K</w:t>
      </w:r>
      <w:r w:rsidR="003478D9" w:rsidRPr="00453959">
        <w:rPr>
          <w:rFonts w:ascii="Times New Roman" w:eastAsia="Times New Roman" w:hAnsi="Times New Roman" w:cs="Times New Roman"/>
          <w:b/>
          <w:bCs/>
          <w:sz w:val="24"/>
          <w:szCs w:val="24"/>
          <w:lang w:eastAsia="de-DE"/>
        </w:rPr>
        <w:t>ooperationen</w:t>
      </w:r>
      <w:bookmarkStart w:id="0" w:name="_GoBack"/>
      <w:bookmarkEnd w:id="0"/>
    </w:p>
    <w:p w:rsidR="003478D9" w:rsidRPr="00AF1A96" w:rsidRDefault="003478D9" w:rsidP="00453959">
      <w:pPr>
        <w:spacing w:before="100" w:beforeAutospacing="1" w:after="100" w:afterAutospacing="1" w:line="240" w:lineRule="auto"/>
        <w:jc w:val="both"/>
        <w:outlineLvl w:val="4"/>
        <w:rPr>
          <w:rStyle w:val="Fett"/>
          <w:b w:val="0"/>
        </w:rPr>
      </w:pPr>
      <w:r w:rsidRPr="00AF1A96">
        <w:rPr>
          <w:rStyle w:val="Fett"/>
          <w:b w:val="0"/>
        </w:rPr>
        <w:t xml:space="preserve">Die BERLIN-Studie </w:t>
      </w:r>
      <w:r w:rsidR="00C953EB" w:rsidRPr="00AF1A96">
        <w:rPr>
          <w:rStyle w:val="Fett"/>
          <w:b w:val="0"/>
        </w:rPr>
        <w:t xml:space="preserve">ist ein </w:t>
      </w:r>
      <w:r w:rsidR="000F7AE2" w:rsidRPr="00AF1A96">
        <w:rPr>
          <w:rStyle w:val="Fett"/>
          <w:b w:val="0"/>
        </w:rPr>
        <w:t xml:space="preserve">gemeinsames </w:t>
      </w:r>
      <w:r w:rsidR="00C953EB" w:rsidRPr="00AF1A96">
        <w:rPr>
          <w:rStyle w:val="Fett"/>
          <w:b w:val="0"/>
        </w:rPr>
        <w:t xml:space="preserve">Kooperationsprojekt </w:t>
      </w:r>
      <w:r w:rsidR="000F7AE2" w:rsidRPr="00AF1A96">
        <w:rPr>
          <w:rStyle w:val="Fett"/>
          <w:b w:val="0"/>
        </w:rPr>
        <w:t>des DIPF</w:t>
      </w:r>
      <w:r w:rsidR="000F7AE2">
        <w:rPr>
          <w:rStyle w:val="Fett"/>
          <w:b w:val="0"/>
          <w:bCs w:val="0"/>
        </w:rPr>
        <w:t xml:space="preserve"> (Prof. Kai Maaz)</w:t>
      </w:r>
      <w:r w:rsidR="000F7AE2" w:rsidRPr="00AF1A96">
        <w:rPr>
          <w:rStyle w:val="Fett"/>
          <w:b w:val="0"/>
        </w:rPr>
        <w:t xml:space="preserve"> </w:t>
      </w:r>
      <w:r w:rsidR="00C953EB" w:rsidRPr="00AF1A96">
        <w:rPr>
          <w:rStyle w:val="Fett"/>
          <w:b w:val="0"/>
        </w:rPr>
        <w:t xml:space="preserve">mit dem </w:t>
      </w:r>
      <w:hyperlink r:id="rId11" w:history="1">
        <w:r w:rsidR="00C953EB" w:rsidRPr="00F75A4E">
          <w:rPr>
            <w:rStyle w:val="Hyperlink"/>
          </w:rPr>
          <w:t>Max-Planck-Institut</w:t>
        </w:r>
        <w:r w:rsidR="00C953EB" w:rsidRPr="00F75A4E">
          <w:rPr>
            <w:rStyle w:val="Hyperlink"/>
          </w:rPr>
          <w:t xml:space="preserve"> </w:t>
        </w:r>
        <w:r w:rsidR="00C953EB" w:rsidRPr="00F75A4E">
          <w:rPr>
            <w:rStyle w:val="Hyperlink"/>
          </w:rPr>
          <w:t>für Bildungsforschung</w:t>
        </w:r>
      </w:hyperlink>
      <w:r w:rsidR="000F7AE2">
        <w:rPr>
          <w:rStyle w:val="Fett"/>
          <w:b w:val="0"/>
          <w:bCs w:val="0"/>
        </w:rPr>
        <w:t xml:space="preserve"> (MPIB</w:t>
      </w:r>
      <w:r w:rsidR="00C953EB" w:rsidRPr="00AF1A96">
        <w:rPr>
          <w:rStyle w:val="Fett"/>
          <w:b w:val="0"/>
        </w:rPr>
        <w:t xml:space="preserve"> Berlin</w:t>
      </w:r>
      <w:r w:rsidR="000F7AE2">
        <w:rPr>
          <w:rStyle w:val="Fett"/>
          <w:b w:val="0"/>
          <w:bCs w:val="0"/>
        </w:rPr>
        <w:t xml:space="preserve">, </w:t>
      </w:r>
      <w:r w:rsidR="00C953EB" w:rsidRPr="00AF1A96">
        <w:rPr>
          <w:rStyle w:val="Fett"/>
          <w:b w:val="0"/>
        </w:rPr>
        <w:t xml:space="preserve">Prof. Dr. Jürgen Baumert) und dem </w:t>
      </w:r>
      <w:hyperlink r:id="rId12" w:history="1">
        <w:r w:rsidR="00C953EB" w:rsidRPr="00F75A4E">
          <w:rPr>
            <w:rStyle w:val="Hyperlink"/>
          </w:rPr>
          <w:t>Leibniz-Institut für die Pädagogik der Naturwisse</w:t>
        </w:r>
        <w:r w:rsidR="00C953EB" w:rsidRPr="00F75A4E">
          <w:rPr>
            <w:rStyle w:val="Hyperlink"/>
          </w:rPr>
          <w:t>n</w:t>
        </w:r>
        <w:r w:rsidR="00C953EB" w:rsidRPr="00F75A4E">
          <w:rPr>
            <w:rStyle w:val="Hyperlink"/>
          </w:rPr>
          <w:t>schaften und Mathematik</w:t>
        </w:r>
      </w:hyperlink>
      <w:r w:rsidR="00C953EB" w:rsidRPr="00AF1A96">
        <w:rPr>
          <w:rStyle w:val="Fett"/>
          <w:b w:val="0"/>
        </w:rPr>
        <w:t xml:space="preserve"> </w:t>
      </w:r>
      <w:r w:rsidR="000F7AE2">
        <w:rPr>
          <w:rStyle w:val="Fett"/>
          <w:b w:val="0"/>
        </w:rPr>
        <w:t xml:space="preserve">(IPN </w:t>
      </w:r>
      <w:r w:rsidR="00C953EB" w:rsidRPr="00AF1A96">
        <w:rPr>
          <w:rStyle w:val="Fett"/>
          <w:b w:val="0"/>
        </w:rPr>
        <w:t>Kiel</w:t>
      </w:r>
      <w:r w:rsidR="000F7AE2">
        <w:rPr>
          <w:rStyle w:val="Fett"/>
          <w:b w:val="0"/>
        </w:rPr>
        <w:t xml:space="preserve">, </w:t>
      </w:r>
      <w:r w:rsidR="00C953EB" w:rsidRPr="00AF1A96">
        <w:rPr>
          <w:rStyle w:val="Fett"/>
          <w:b w:val="0"/>
        </w:rPr>
        <w:t>Prof. Dr. Olaf Köller).</w:t>
      </w:r>
    </w:p>
    <w:p w:rsidR="00C953EB" w:rsidRDefault="00C953EB" w:rsidP="00C953EB">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3478D9" w:rsidRPr="00C953EB" w:rsidRDefault="003478D9" w:rsidP="00C953EB">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sidRPr="00C953EB">
        <w:rPr>
          <w:rFonts w:ascii="Times New Roman" w:eastAsia="Times New Roman" w:hAnsi="Times New Roman" w:cs="Times New Roman"/>
          <w:b/>
          <w:bCs/>
          <w:sz w:val="24"/>
          <w:szCs w:val="24"/>
          <w:lang w:eastAsia="de-DE"/>
        </w:rPr>
        <w:t>Projektleitung</w:t>
      </w:r>
    </w:p>
    <w:p w:rsidR="003478D9"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Kai Maaz</w:t>
      </w:r>
    </w:p>
    <w:p w:rsidR="00834BCC" w:rsidRDefault="00834BCC"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Marko Neumann</w:t>
      </w:r>
    </w:p>
    <w:p w:rsidR="00253886" w:rsidRDefault="00253886" w:rsidP="00C953EB">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p>
    <w:p w:rsidR="00C953EB" w:rsidRPr="00C953EB" w:rsidRDefault="00C953EB" w:rsidP="00C953EB">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sidRPr="00C953EB">
        <w:rPr>
          <w:rFonts w:ascii="Times New Roman" w:eastAsia="Times New Roman" w:hAnsi="Times New Roman" w:cs="Times New Roman"/>
          <w:b/>
          <w:bCs/>
          <w:sz w:val="24"/>
          <w:szCs w:val="24"/>
          <w:lang w:eastAsia="de-DE"/>
        </w:rPr>
        <w:t>Projektteam</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Susanne Böse</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Michael Becker</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Hanna Dumont</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Denise Klinge</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Henrike Knoppick</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Michaela Kropf</w:t>
      </w:r>
    </w:p>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Julia Tetzner</w:t>
      </w:r>
    </w:p>
    <w:p w:rsidR="000E0A2D" w:rsidRDefault="000E0A2D">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rsidR="00C953EB" w:rsidRPr="00C953EB" w:rsidRDefault="00C953EB" w:rsidP="00C953EB">
      <w:pPr>
        <w:spacing w:before="100" w:beforeAutospacing="1" w:after="100" w:afterAutospacing="1" w:line="240" w:lineRule="auto"/>
        <w:outlineLvl w:val="4"/>
        <w:rPr>
          <w:rFonts w:ascii="Times New Roman" w:eastAsia="Times New Roman" w:hAnsi="Times New Roman" w:cs="Times New Roman"/>
          <w:b/>
          <w:bCs/>
          <w:sz w:val="24"/>
          <w:szCs w:val="24"/>
          <w:lang w:eastAsia="de-DE"/>
        </w:rPr>
      </w:pPr>
      <w:r w:rsidRPr="00C953EB">
        <w:rPr>
          <w:rFonts w:ascii="Times New Roman" w:eastAsia="Times New Roman" w:hAnsi="Times New Roman" w:cs="Times New Roman"/>
          <w:b/>
          <w:bCs/>
          <w:sz w:val="24"/>
          <w:szCs w:val="24"/>
          <w:lang w:eastAsia="de-DE"/>
        </w:rPr>
        <w:lastRenderedPageBreak/>
        <w:t>Projektdaten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3"/>
        <w:gridCol w:w="5091"/>
      </w:tblGrid>
      <w:tr w:rsidR="00C953EB" w:rsidTr="00C953EB">
        <w:trPr>
          <w:tblCellSpacing w:w="15" w:type="dxa"/>
        </w:trPr>
        <w:tc>
          <w:tcPr>
            <w:tcW w:w="1828" w:type="dxa"/>
            <w:vAlign w:val="center"/>
            <w:hideMark/>
          </w:tcPr>
          <w:p w:rsidR="00C953EB" w:rsidRDefault="00C953EB">
            <w:pPr>
              <w:jc w:val="center"/>
              <w:rPr>
                <w:b/>
                <w:bCs/>
                <w:sz w:val="24"/>
                <w:szCs w:val="24"/>
              </w:rPr>
            </w:pPr>
            <w:r>
              <w:rPr>
                <w:b/>
                <w:bCs/>
              </w:rPr>
              <w:t xml:space="preserve">Status: </w:t>
            </w:r>
          </w:p>
        </w:tc>
        <w:tc>
          <w:tcPr>
            <w:tcW w:w="5046" w:type="dxa"/>
            <w:vAlign w:val="center"/>
            <w:hideMark/>
          </w:tcPr>
          <w:p w:rsidR="00C953EB" w:rsidRDefault="00C953EB" w:rsidP="00C953EB">
            <w:pPr>
              <w:rPr>
                <w:sz w:val="24"/>
                <w:szCs w:val="24"/>
              </w:rPr>
            </w:pPr>
            <w:r>
              <w:t xml:space="preserve">Laufende Projekte </w:t>
            </w:r>
          </w:p>
        </w:tc>
      </w:tr>
      <w:tr w:rsidR="00C953EB" w:rsidTr="00C953EB">
        <w:trPr>
          <w:tblCellSpacing w:w="15" w:type="dxa"/>
        </w:trPr>
        <w:tc>
          <w:tcPr>
            <w:tcW w:w="1828" w:type="dxa"/>
            <w:vAlign w:val="center"/>
            <w:hideMark/>
          </w:tcPr>
          <w:p w:rsidR="00C953EB" w:rsidRPr="00834BCC" w:rsidRDefault="00C953EB">
            <w:pPr>
              <w:jc w:val="center"/>
              <w:rPr>
                <w:b/>
                <w:bCs/>
                <w:sz w:val="24"/>
                <w:szCs w:val="24"/>
              </w:rPr>
            </w:pPr>
            <w:r w:rsidRPr="00834BCC">
              <w:rPr>
                <w:b/>
                <w:bCs/>
              </w:rPr>
              <w:t xml:space="preserve">Laufzeit: </w:t>
            </w:r>
          </w:p>
        </w:tc>
        <w:tc>
          <w:tcPr>
            <w:tcW w:w="5046" w:type="dxa"/>
            <w:vAlign w:val="center"/>
            <w:hideMark/>
          </w:tcPr>
          <w:p w:rsidR="00C953EB" w:rsidRPr="00834BCC" w:rsidRDefault="00834BCC" w:rsidP="00834BCC">
            <w:pPr>
              <w:rPr>
                <w:sz w:val="24"/>
                <w:szCs w:val="24"/>
              </w:rPr>
            </w:pPr>
            <w:r w:rsidRPr="00834BCC">
              <w:t>10</w:t>
            </w:r>
            <w:r w:rsidR="00C953EB" w:rsidRPr="00834BCC">
              <w:t>/</w:t>
            </w:r>
            <w:r w:rsidRPr="00834BCC">
              <w:t>2010 - 10</w:t>
            </w:r>
            <w:r w:rsidR="00C953EB" w:rsidRPr="00834BCC">
              <w:t>/20</w:t>
            </w:r>
            <w:r w:rsidRPr="00834BCC">
              <w:t>18</w:t>
            </w:r>
            <w:r w:rsidR="00C953EB" w:rsidRPr="00834BCC">
              <w:t xml:space="preserve"> </w:t>
            </w:r>
          </w:p>
        </w:tc>
      </w:tr>
      <w:tr w:rsidR="00C953EB" w:rsidTr="00C953EB">
        <w:trPr>
          <w:tblCellSpacing w:w="15" w:type="dxa"/>
        </w:trPr>
        <w:tc>
          <w:tcPr>
            <w:tcW w:w="1828" w:type="dxa"/>
            <w:vAlign w:val="center"/>
            <w:hideMark/>
          </w:tcPr>
          <w:p w:rsidR="00C953EB" w:rsidRDefault="00C953EB">
            <w:pPr>
              <w:jc w:val="center"/>
              <w:rPr>
                <w:b/>
                <w:bCs/>
                <w:sz w:val="24"/>
                <w:szCs w:val="24"/>
              </w:rPr>
            </w:pPr>
            <w:r>
              <w:rPr>
                <w:b/>
                <w:bCs/>
              </w:rPr>
              <w:t xml:space="preserve">Finanzierung: </w:t>
            </w:r>
          </w:p>
        </w:tc>
        <w:tc>
          <w:tcPr>
            <w:tcW w:w="5046" w:type="dxa"/>
            <w:vAlign w:val="center"/>
            <w:hideMark/>
          </w:tcPr>
          <w:p w:rsidR="00C953EB" w:rsidRDefault="00C953EB" w:rsidP="00C953EB">
            <w:pPr>
              <w:rPr>
                <w:sz w:val="24"/>
                <w:szCs w:val="24"/>
              </w:rPr>
            </w:pPr>
            <w:r>
              <w:t>Drittmittel</w:t>
            </w:r>
          </w:p>
        </w:tc>
      </w:tr>
      <w:tr w:rsidR="00C953EB" w:rsidTr="00C953EB">
        <w:trPr>
          <w:tblCellSpacing w:w="15" w:type="dxa"/>
        </w:trPr>
        <w:tc>
          <w:tcPr>
            <w:tcW w:w="1828" w:type="dxa"/>
            <w:vAlign w:val="center"/>
            <w:hideMark/>
          </w:tcPr>
          <w:p w:rsidR="00253886" w:rsidRDefault="00C953EB" w:rsidP="00253886">
            <w:pPr>
              <w:jc w:val="center"/>
              <w:rPr>
                <w:b/>
                <w:bCs/>
              </w:rPr>
            </w:pPr>
            <w:r>
              <w:rPr>
                <w:b/>
                <w:bCs/>
              </w:rPr>
              <w:t xml:space="preserve">Forschungsthemen: </w:t>
            </w:r>
          </w:p>
          <w:p w:rsidR="00253886" w:rsidRDefault="00253886">
            <w:pPr>
              <w:jc w:val="center"/>
              <w:rPr>
                <w:b/>
                <w:bCs/>
                <w:sz w:val="24"/>
                <w:szCs w:val="24"/>
              </w:rPr>
            </w:pPr>
          </w:p>
        </w:tc>
        <w:tc>
          <w:tcPr>
            <w:tcW w:w="5046" w:type="dxa"/>
            <w:vAlign w:val="center"/>
            <w:hideMark/>
          </w:tcPr>
          <w:p w:rsidR="00453959" w:rsidRDefault="00453959" w:rsidP="00453959">
            <w:r>
              <w:t xml:space="preserve">Large </w:t>
            </w:r>
            <w:proofErr w:type="spellStart"/>
            <w:r>
              <w:t>Scale</w:t>
            </w:r>
            <w:proofErr w:type="spellEnd"/>
            <w:r>
              <w:t xml:space="preserve"> Assessment </w:t>
            </w:r>
          </w:p>
          <w:p w:rsidR="00253886" w:rsidRPr="00253886" w:rsidRDefault="00453959" w:rsidP="00C953EB">
            <w:r>
              <w:t xml:space="preserve">Schulqualität </w:t>
            </w:r>
          </w:p>
        </w:tc>
      </w:tr>
      <w:tr w:rsidR="00C953EB" w:rsidTr="00C953EB">
        <w:trPr>
          <w:tblCellSpacing w:w="15" w:type="dxa"/>
        </w:trPr>
        <w:tc>
          <w:tcPr>
            <w:tcW w:w="1828" w:type="dxa"/>
            <w:vAlign w:val="center"/>
            <w:hideMark/>
          </w:tcPr>
          <w:p w:rsidR="00C953EB" w:rsidRDefault="00C953EB">
            <w:pPr>
              <w:jc w:val="center"/>
              <w:rPr>
                <w:b/>
                <w:bCs/>
                <w:sz w:val="24"/>
                <w:szCs w:val="24"/>
              </w:rPr>
            </w:pPr>
            <w:r>
              <w:rPr>
                <w:b/>
                <w:bCs/>
              </w:rPr>
              <w:t xml:space="preserve">Abteilung: </w:t>
            </w:r>
          </w:p>
        </w:tc>
        <w:tc>
          <w:tcPr>
            <w:tcW w:w="5046" w:type="dxa"/>
            <w:vAlign w:val="center"/>
            <w:hideMark/>
          </w:tcPr>
          <w:p w:rsidR="00C953EB" w:rsidRDefault="00C953EB" w:rsidP="00C953EB">
            <w:pPr>
              <w:rPr>
                <w:sz w:val="24"/>
                <w:szCs w:val="24"/>
              </w:rPr>
            </w:pPr>
            <w:r>
              <w:t>Steuerung und Finanzierung des Bildungswesens</w:t>
            </w:r>
          </w:p>
        </w:tc>
      </w:tr>
      <w:tr w:rsidR="00C953EB" w:rsidTr="00C953EB">
        <w:trPr>
          <w:tblCellSpacing w:w="15" w:type="dxa"/>
        </w:trPr>
        <w:tc>
          <w:tcPr>
            <w:tcW w:w="1828" w:type="dxa"/>
            <w:vAlign w:val="center"/>
            <w:hideMark/>
          </w:tcPr>
          <w:p w:rsidR="00C953EB" w:rsidRDefault="00C953EB">
            <w:pPr>
              <w:jc w:val="center"/>
              <w:rPr>
                <w:b/>
                <w:bCs/>
                <w:sz w:val="24"/>
                <w:szCs w:val="24"/>
              </w:rPr>
            </w:pPr>
            <w:r>
              <w:rPr>
                <w:b/>
                <w:bCs/>
              </w:rPr>
              <w:t>Kontakt:</w:t>
            </w:r>
          </w:p>
        </w:tc>
        <w:tc>
          <w:tcPr>
            <w:tcW w:w="5046" w:type="dxa"/>
            <w:vAlign w:val="center"/>
            <w:hideMark/>
          </w:tcPr>
          <w:p w:rsidR="00C953EB" w:rsidRDefault="00834BCC" w:rsidP="00C953EB">
            <w:pPr>
              <w:rPr>
                <w:sz w:val="24"/>
                <w:szCs w:val="24"/>
              </w:rPr>
            </w:pPr>
            <w:r>
              <w:t xml:space="preserve">Marko </w:t>
            </w:r>
            <w:r w:rsidR="00C953EB">
              <w:t>Neumann</w:t>
            </w:r>
            <w:r w:rsidR="00453959">
              <w:t xml:space="preserve"> / Michaela Kropf</w:t>
            </w:r>
          </w:p>
        </w:tc>
      </w:tr>
    </w:tbl>
    <w:p w:rsidR="00C953EB" w:rsidRDefault="00C953EB"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p>
    <w:p w:rsidR="00453959" w:rsidRDefault="00453959" w:rsidP="003478D9">
      <w:pPr>
        <w:spacing w:before="100" w:beforeAutospacing="1" w:after="100" w:afterAutospacing="1" w:line="240" w:lineRule="auto"/>
        <w:outlineLvl w:val="4"/>
        <w:rPr>
          <w:rFonts w:ascii="Times New Roman" w:eastAsia="Times New Roman" w:hAnsi="Times New Roman" w:cs="Times New Roman"/>
          <w:bCs/>
          <w:sz w:val="24"/>
          <w:szCs w:val="24"/>
          <w:lang w:eastAsia="de-DE"/>
        </w:rPr>
      </w:pPr>
    </w:p>
    <w:sectPr w:rsidR="00453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54F"/>
    <w:multiLevelType w:val="multilevel"/>
    <w:tmpl w:val="59D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959F4"/>
    <w:multiLevelType w:val="multilevel"/>
    <w:tmpl w:val="491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02A8A"/>
    <w:multiLevelType w:val="multilevel"/>
    <w:tmpl w:val="478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70EFD"/>
    <w:multiLevelType w:val="multilevel"/>
    <w:tmpl w:val="51CC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51762"/>
    <w:multiLevelType w:val="multilevel"/>
    <w:tmpl w:val="746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732A5"/>
    <w:multiLevelType w:val="multilevel"/>
    <w:tmpl w:val="425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A1D27"/>
    <w:multiLevelType w:val="hybridMultilevel"/>
    <w:tmpl w:val="DFD6A20C"/>
    <w:lvl w:ilvl="0" w:tplc="17BE59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5255F"/>
    <w:multiLevelType w:val="multilevel"/>
    <w:tmpl w:val="AF70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56E14"/>
    <w:multiLevelType w:val="multilevel"/>
    <w:tmpl w:val="978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16779"/>
    <w:multiLevelType w:val="hybridMultilevel"/>
    <w:tmpl w:val="1C265B04"/>
    <w:lvl w:ilvl="0" w:tplc="17BE59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BE3491"/>
    <w:multiLevelType w:val="multilevel"/>
    <w:tmpl w:val="B71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512A7"/>
    <w:multiLevelType w:val="multilevel"/>
    <w:tmpl w:val="963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A682E"/>
    <w:multiLevelType w:val="multilevel"/>
    <w:tmpl w:val="F87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2"/>
  </w:num>
  <w:num w:numId="5">
    <w:abstractNumId w:val="7"/>
  </w:num>
  <w:num w:numId="6">
    <w:abstractNumId w:val="1"/>
  </w:num>
  <w:num w:numId="7">
    <w:abstractNumId w:val="11"/>
  </w:num>
  <w:num w:numId="8">
    <w:abstractNumId w:val="8"/>
  </w:num>
  <w:num w:numId="9">
    <w:abstractNumId w:val="4"/>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21"/>
    <w:rsid w:val="00032D0F"/>
    <w:rsid w:val="000E0A2D"/>
    <w:rsid w:val="000F7AE2"/>
    <w:rsid w:val="00147DBD"/>
    <w:rsid w:val="00246E49"/>
    <w:rsid w:val="00253886"/>
    <w:rsid w:val="002956AD"/>
    <w:rsid w:val="00333B27"/>
    <w:rsid w:val="0034154F"/>
    <w:rsid w:val="003478D9"/>
    <w:rsid w:val="003D7772"/>
    <w:rsid w:val="00414B12"/>
    <w:rsid w:val="00453959"/>
    <w:rsid w:val="004E6331"/>
    <w:rsid w:val="004F6987"/>
    <w:rsid w:val="00555586"/>
    <w:rsid w:val="00631991"/>
    <w:rsid w:val="00632A84"/>
    <w:rsid w:val="006368C6"/>
    <w:rsid w:val="006B230B"/>
    <w:rsid w:val="007C203C"/>
    <w:rsid w:val="00834BCC"/>
    <w:rsid w:val="00851809"/>
    <w:rsid w:val="00871267"/>
    <w:rsid w:val="008846DF"/>
    <w:rsid w:val="008849CC"/>
    <w:rsid w:val="008A053E"/>
    <w:rsid w:val="009405CE"/>
    <w:rsid w:val="00942521"/>
    <w:rsid w:val="009507E9"/>
    <w:rsid w:val="00A95BC7"/>
    <w:rsid w:val="00AF1A96"/>
    <w:rsid w:val="00B11DD6"/>
    <w:rsid w:val="00BC7E07"/>
    <w:rsid w:val="00C953EB"/>
    <w:rsid w:val="00CA57C8"/>
    <w:rsid w:val="00E157BB"/>
    <w:rsid w:val="00EC1594"/>
    <w:rsid w:val="00F04344"/>
    <w:rsid w:val="00F54580"/>
    <w:rsid w:val="00F67647"/>
    <w:rsid w:val="00F71CE5"/>
    <w:rsid w:val="00F75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53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4F6987"/>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link w:val="berschrift5Zchn"/>
    <w:uiPriority w:val="9"/>
    <w:qFormat/>
    <w:rsid w:val="0094252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2521"/>
    <w:rPr>
      <w:color w:val="0000FF" w:themeColor="hyperlink"/>
      <w:u w:val="single"/>
    </w:rPr>
  </w:style>
  <w:style w:type="character" w:customStyle="1" w:styleId="berschrift5Zchn">
    <w:name w:val="Überschrift 5 Zchn"/>
    <w:basedOn w:val="Absatz-Standardschriftart"/>
    <w:link w:val="berschrift5"/>
    <w:uiPriority w:val="9"/>
    <w:rsid w:val="00942521"/>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9425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42521"/>
    <w:rPr>
      <w:i/>
      <w:iCs/>
    </w:rPr>
  </w:style>
  <w:style w:type="character" w:styleId="Kommentarzeichen">
    <w:name w:val="annotation reference"/>
    <w:basedOn w:val="Absatz-Standardschriftart"/>
    <w:uiPriority w:val="99"/>
    <w:semiHidden/>
    <w:unhideWhenUsed/>
    <w:rsid w:val="00942521"/>
    <w:rPr>
      <w:sz w:val="16"/>
      <w:szCs w:val="16"/>
    </w:rPr>
  </w:style>
  <w:style w:type="paragraph" w:styleId="Kommentartext">
    <w:name w:val="annotation text"/>
    <w:basedOn w:val="Standard"/>
    <w:link w:val="KommentartextZchn"/>
    <w:uiPriority w:val="99"/>
    <w:semiHidden/>
    <w:unhideWhenUsed/>
    <w:rsid w:val="00942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521"/>
    <w:rPr>
      <w:sz w:val="20"/>
      <w:szCs w:val="20"/>
    </w:rPr>
  </w:style>
  <w:style w:type="paragraph" w:styleId="Kommentarthema">
    <w:name w:val="annotation subject"/>
    <w:basedOn w:val="Kommentartext"/>
    <w:next w:val="Kommentartext"/>
    <w:link w:val="KommentarthemaZchn"/>
    <w:uiPriority w:val="99"/>
    <w:semiHidden/>
    <w:unhideWhenUsed/>
    <w:rsid w:val="00942521"/>
    <w:rPr>
      <w:b/>
      <w:bCs/>
    </w:rPr>
  </w:style>
  <w:style w:type="character" w:customStyle="1" w:styleId="KommentarthemaZchn">
    <w:name w:val="Kommentarthema Zchn"/>
    <w:basedOn w:val="KommentartextZchn"/>
    <w:link w:val="Kommentarthema"/>
    <w:uiPriority w:val="99"/>
    <w:semiHidden/>
    <w:rsid w:val="00942521"/>
    <w:rPr>
      <w:b/>
      <w:bCs/>
      <w:sz w:val="20"/>
      <w:szCs w:val="20"/>
    </w:rPr>
  </w:style>
  <w:style w:type="paragraph" w:styleId="Sprechblasentext">
    <w:name w:val="Balloon Text"/>
    <w:basedOn w:val="Standard"/>
    <w:link w:val="SprechblasentextZchn"/>
    <w:uiPriority w:val="99"/>
    <w:semiHidden/>
    <w:unhideWhenUsed/>
    <w:rsid w:val="00942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521"/>
    <w:rPr>
      <w:rFonts w:ascii="Tahoma" w:hAnsi="Tahoma" w:cs="Tahoma"/>
      <w:sz w:val="16"/>
      <w:szCs w:val="16"/>
    </w:rPr>
  </w:style>
  <w:style w:type="character" w:customStyle="1" w:styleId="berschrift3Zchn">
    <w:name w:val="Überschrift 3 Zchn"/>
    <w:basedOn w:val="Absatz-Standardschriftart"/>
    <w:link w:val="berschrift3"/>
    <w:uiPriority w:val="9"/>
    <w:semiHidden/>
    <w:rsid w:val="004F6987"/>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45395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253886"/>
    <w:rPr>
      <w:b/>
      <w:bCs/>
    </w:rPr>
  </w:style>
  <w:style w:type="paragraph" w:styleId="Listenabsatz">
    <w:name w:val="List Paragraph"/>
    <w:basedOn w:val="Standard"/>
    <w:uiPriority w:val="34"/>
    <w:qFormat/>
    <w:rsid w:val="00253886"/>
    <w:pPr>
      <w:ind w:left="720"/>
      <w:contextualSpacing/>
    </w:pPr>
  </w:style>
  <w:style w:type="character" w:styleId="BesuchterHyperlink">
    <w:name w:val="FollowedHyperlink"/>
    <w:basedOn w:val="Absatz-Standardschriftart"/>
    <w:uiPriority w:val="99"/>
    <w:semiHidden/>
    <w:unhideWhenUsed/>
    <w:rsid w:val="007C203C"/>
    <w:rPr>
      <w:color w:val="800080" w:themeColor="followedHyperlink"/>
      <w:u w:val="single"/>
    </w:rPr>
  </w:style>
  <w:style w:type="paragraph" w:styleId="berarbeitung">
    <w:name w:val="Revision"/>
    <w:hidden/>
    <w:uiPriority w:val="99"/>
    <w:semiHidden/>
    <w:rsid w:val="00940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53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4F6987"/>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link w:val="berschrift5Zchn"/>
    <w:uiPriority w:val="9"/>
    <w:qFormat/>
    <w:rsid w:val="0094252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2521"/>
    <w:rPr>
      <w:color w:val="0000FF" w:themeColor="hyperlink"/>
      <w:u w:val="single"/>
    </w:rPr>
  </w:style>
  <w:style w:type="character" w:customStyle="1" w:styleId="berschrift5Zchn">
    <w:name w:val="Überschrift 5 Zchn"/>
    <w:basedOn w:val="Absatz-Standardschriftart"/>
    <w:link w:val="berschrift5"/>
    <w:uiPriority w:val="9"/>
    <w:rsid w:val="00942521"/>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9425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42521"/>
    <w:rPr>
      <w:i/>
      <w:iCs/>
    </w:rPr>
  </w:style>
  <w:style w:type="character" w:styleId="Kommentarzeichen">
    <w:name w:val="annotation reference"/>
    <w:basedOn w:val="Absatz-Standardschriftart"/>
    <w:uiPriority w:val="99"/>
    <w:semiHidden/>
    <w:unhideWhenUsed/>
    <w:rsid w:val="00942521"/>
    <w:rPr>
      <w:sz w:val="16"/>
      <w:szCs w:val="16"/>
    </w:rPr>
  </w:style>
  <w:style w:type="paragraph" w:styleId="Kommentartext">
    <w:name w:val="annotation text"/>
    <w:basedOn w:val="Standard"/>
    <w:link w:val="KommentartextZchn"/>
    <w:uiPriority w:val="99"/>
    <w:semiHidden/>
    <w:unhideWhenUsed/>
    <w:rsid w:val="00942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521"/>
    <w:rPr>
      <w:sz w:val="20"/>
      <w:szCs w:val="20"/>
    </w:rPr>
  </w:style>
  <w:style w:type="paragraph" w:styleId="Kommentarthema">
    <w:name w:val="annotation subject"/>
    <w:basedOn w:val="Kommentartext"/>
    <w:next w:val="Kommentartext"/>
    <w:link w:val="KommentarthemaZchn"/>
    <w:uiPriority w:val="99"/>
    <w:semiHidden/>
    <w:unhideWhenUsed/>
    <w:rsid w:val="00942521"/>
    <w:rPr>
      <w:b/>
      <w:bCs/>
    </w:rPr>
  </w:style>
  <w:style w:type="character" w:customStyle="1" w:styleId="KommentarthemaZchn">
    <w:name w:val="Kommentarthema Zchn"/>
    <w:basedOn w:val="KommentartextZchn"/>
    <w:link w:val="Kommentarthema"/>
    <w:uiPriority w:val="99"/>
    <w:semiHidden/>
    <w:rsid w:val="00942521"/>
    <w:rPr>
      <w:b/>
      <w:bCs/>
      <w:sz w:val="20"/>
      <w:szCs w:val="20"/>
    </w:rPr>
  </w:style>
  <w:style w:type="paragraph" w:styleId="Sprechblasentext">
    <w:name w:val="Balloon Text"/>
    <w:basedOn w:val="Standard"/>
    <w:link w:val="SprechblasentextZchn"/>
    <w:uiPriority w:val="99"/>
    <w:semiHidden/>
    <w:unhideWhenUsed/>
    <w:rsid w:val="00942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521"/>
    <w:rPr>
      <w:rFonts w:ascii="Tahoma" w:hAnsi="Tahoma" w:cs="Tahoma"/>
      <w:sz w:val="16"/>
      <w:szCs w:val="16"/>
    </w:rPr>
  </w:style>
  <w:style w:type="character" w:customStyle="1" w:styleId="berschrift3Zchn">
    <w:name w:val="Überschrift 3 Zchn"/>
    <w:basedOn w:val="Absatz-Standardschriftart"/>
    <w:link w:val="berschrift3"/>
    <w:uiPriority w:val="9"/>
    <w:semiHidden/>
    <w:rsid w:val="004F6987"/>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45395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253886"/>
    <w:rPr>
      <w:b/>
      <w:bCs/>
    </w:rPr>
  </w:style>
  <w:style w:type="paragraph" w:styleId="Listenabsatz">
    <w:name w:val="List Paragraph"/>
    <w:basedOn w:val="Standard"/>
    <w:uiPriority w:val="34"/>
    <w:qFormat/>
    <w:rsid w:val="00253886"/>
    <w:pPr>
      <w:ind w:left="720"/>
      <w:contextualSpacing/>
    </w:pPr>
  </w:style>
  <w:style w:type="character" w:styleId="BesuchterHyperlink">
    <w:name w:val="FollowedHyperlink"/>
    <w:basedOn w:val="Absatz-Standardschriftart"/>
    <w:uiPriority w:val="99"/>
    <w:semiHidden/>
    <w:unhideWhenUsed/>
    <w:rsid w:val="007C203C"/>
    <w:rPr>
      <w:color w:val="800080" w:themeColor="followedHyperlink"/>
      <w:u w:val="single"/>
    </w:rPr>
  </w:style>
  <w:style w:type="paragraph" w:styleId="berarbeitung">
    <w:name w:val="Revision"/>
    <w:hidden/>
    <w:uiPriority w:val="99"/>
    <w:semiHidden/>
    <w:rsid w:val="00940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812">
      <w:bodyDiv w:val="1"/>
      <w:marLeft w:val="0"/>
      <w:marRight w:val="0"/>
      <w:marTop w:val="0"/>
      <w:marBottom w:val="0"/>
      <w:divBdr>
        <w:top w:val="none" w:sz="0" w:space="0" w:color="auto"/>
        <w:left w:val="none" w:sz="0" w:space="0" w:color="auto"/>
        <w:bottom w:val="none" w:sz="0" w:space="0" w:color="auto"/>
        <w:right w:val="none" w:sz="0" w:space="0" w:color="auto"/>
      </w:divBdr>
    </w:div>
    <w:div w:id="122428817">
      <w:bodyDiv w:val="1"/>
      <w:marLeft w:val="0"/>
      <w:marRight w:val="0"/>
      <w:marTop w:val="0"/>
      <w:marBottom w:val="0"/>
      <w:divBdr>
        <w:top w:val="none" w:sz="0" w:space="0" w:color="auto"/>
        <w:left w:val="none" w:sz="0" w:space="0" w:color="auto"/>
        <w:bottom w:val="none" w:sz="0" w:space="0" w:color="auto"/>
        <w:right w:val="none" w:sz="0" w:space="0" w:color="auto"/>
      </w:divBdr>
    </w:div>
    <w:div w:id="211501092">
      <w:bodyDiv w:val="1"/>
      <w:marLeft w:val="0"/>
      <w:marRight w:val="0"/>
      <w:marTop w:val="0"/>
      <w:marBottom w:val="0"/>
      <w:divBdr>
        <w:top w:val="none" w:sz="0" w:space="0" w:color="auto"/>
        <w:left w:val="none" w:sz="0" w:space="0" w:color="auto"/>
        <w:bottom w:val="none" w:sz="0" w:space="0" w:color="auto"/>
        <w:right w:val="none" w:sz="0" w:space="0" w:color="auto"/>
      </w:divBdr>
    </w:div>
    <w:div w:id="567112787">
      <w:bodyDiv w:val="1"/>
      <w:marLeft w:val="0"/>
      <w:marRight w:val="0"/>
      <w:marTop w:val="0"/>
      <w:marBottom w:val="0"/>
      <w:divBdr>
        <w:top w:val="none" w:sz="0" w:space="0" w:color="auto"/>
        <w:left w:val="none" w:sz="0" w:space="0" w:color="auto"/>
        <w:bottom w:val="none" w:sz="0" w:space="0" w:color="auto"/>
        <w:right w:val="none" w:sz="0" w:space="0" w:color="auto"/>
      </w:divBdr>
      <w:divsChild>
        <w:div w:id="170265399">
          <w:marLeft w:val="0"/>
          <w:marRight w:val="0"/>
          <w:marTop w:val="0"/>
          <w:marBottom w:val="0"/>
          <w:divBdr>
            <w:top w:val="none" w:sz="0" w:space="0" w:color="auto"/>
            <w:left w:val="none" w:sz="0" w:space="0" w:color="auto"/>
            <w:bottom w:val="none" w:sz="0" w:space="0" w:color="auto"/>
            <w:right w:val="none" w:sz="0" w:space="0" w:color="auto"/>
          </w:divBdr>
          <w:divsChild>
            <w:div w:id="1699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989">
      <w:bodyDiv w:val="1"/>
      <w:marLeft w:val="0"/>
      <w:marRight w:val="0"/>
      <w:marTop w:val="0"/>
      <w:marBottom w:val="0"/>
      <w:divBdr>
        <w:top w:val="none" w:sz="0" w:space="0" w:color="auto"/>
        <w:left w:val="none" w:sz="0" w:space="0" w:color="auto"/>
        <w:bottom w:val="none" w:sz="0" w:space="0" w:color="auto"/>
        <w:right w:val="none" w:sz="0" w:space="0" w:color="auto"/>
      </w:divBdr>
    </w:div>
    <w:div w:id="766541470">
      <w:bodyDiv w:val="1"/>
      <w:marLeft w:val="0"/>
      <w:marRight w:val="0"/>
      <w:marTop w:val="0"/>
      <w:marBottom w:val="0"/>
      <w:divBdr>
        <w:top w:val="none" w:sz="0" w:space="0" w:color="auto"/>
        <w:left w:val="none" w:sz="0" w:space="0" w:color="auto"/>
        <w:bottom w:val="none" w:sz="0" w:space="0" w:color="auto"/>
        <w:right w:val="none" w:sz="0" w:space="0" w:color="auto"/>
      </w:divBdr>
    </w:div>
    <w:div w:id="789740801">
      <w:bodyDiv w:val="1"/>
      <w:marLeft w:val="0"/>
      <w:marRight w:val="0"/>
      <w:marTop w:val="0"/>
      <w:marBottom w:val="0"/>
      <w:divBdr>
        <w:top w:val="none" w:sz="0" w:space="0" w:color="auto"/>
        <w:left w:val="none" w:sz="0" w:space="0" w:color="auto"/>
        <w:bottom w:val="none" w:sz="0" w:space="0" w:color="auto"/>
        <w:right w:val="none" w:sz="0" w:space="0" w:color="auto"/>
      </w:divBdr>
    </w:div>
    <w:div w:id="902060468">
      <w:bodyDiv w:val="1"/>
      <w:marLeft w:val="0"/>
      <w:marRight w:val="0"/>
      <w:marTop w:val="0"/>
      <w:marBottom w:val="0"/>
      <w:divBdr>
        <w:top w:val="none" w:sz="0" w:space="0" w:color="auto"/>
        <w:left w:val="none" w:sz="0" w:space="0" w:color="auto"/>
        <w:bottom w:val="none" w:sz="0" w:space="0" w:color="auto"/>
        <w:right w:val="none" w:sz="0" w:space="0" w:color="auto"/>
      </w:divBdr>
    </w:div>
    <w:div w:id="908001685">
      <w:bodyDiv w:val="1"/>
      <w:marLeft w:val="0"/>
      <w:marRight w:val="0"/>
      <w:marTop w:val="0"/>
      <w:marBottom w:val="0"/>
      <w:divBdr>
        <w:top w:val="none" w:sz="0" w:space="0" w:color="auto"/>
        <w:left w:val="none" w:sz="0" w:space="0" w:color="auto"/>
        <w:bottom w:val="none" w:sz="0" w:space="0" w:color="auto"/>
        <w:right w:val="none" w:sz="0" w:space="0" w:color="auto"/>
      </w:divBdr>
    </w:div>
    <w:div w:id="956570002">
      <w:bodyDiv w:val="1"/>
      <w:marLeft w:val="0"/>
      <w:marRight w:val="0"/>
      <w:marTop w:val="0"/>
      <w:marBottom w:val="0"/>
      <w:divBdr>
        <w:top w:val="none" w:sz="0" w:space="0" w:color="auto"/>
        <w:left w:val="none" w:sz="0" w:space="0" w:color="auto"/>
        <w:bottom w:val="none" w:sz="0" w:space="0" w:color="auto"/>
        <w:right w:val="none" w:sz="0" w:space="0" w:color="auto"/>
      </w:divBdr>
    </w:div>
    <w:div w:id="967394004">
      <w:bodyDiv w:val="1"/>
      <w:marLeft w:val="0"/>
      <w:marRight w:val="0"/>
      <w:marTop w:val="0"/>
      <w:marBottom w:val="0"/>
      <w:divBdr>
        <w:top w:val="none" w:sz="0" w:space="0" w:color="auto"/>
        <w:left w:val="none" w:sz="0" w:space="0" w:color="auto"/>
        <w:bottom w:val="none" w:sz="0" w:space="0" w:color="auto"/>
        <w:right w:val="none" w:sz="0" w:space="0" w:color="auto"/>
      </w:divBdr>
    </w:div>
    <w:div w:id="977415278">
      <w:bodyDiv w:val="1"/>
      <w:marLeft w:val="0"/>
      <w:marRight w:val="0"/>
      <w:marTop w:val="0"/>
      <w:marBottom w:val="0"/>
      <w:divBdr>
        <w:top w:val="none" w:sz="0" w:space="0" w:color="auto"/>
        <w:left w:val="none" w:sz="0" w:space="0" w:color="auto"/>
        <w:bottom w:val="none" w:sz="0" w:space="0" w:color="auto"/>
        <w:right w:val="none" w:sz="0" w:space="0" w:color="auto"/>
      </w:divBdr>
    </w:div>
    <w:div w:id="1155998805">
      <w:bodyDiv w:val="1"/>
      <w:marLeft w:val="0"/>
      <w:marRight w:val="0"/>
      <w:marTop w:val="0"/>
      <w:marBottom w:val="0"/>
      <w:divBdr>
        <w:top w:val="none" w:sz="0" w:space="0" w:color="auto"/>
        <w:left w:val="none" w:sz="0" w:space="0" w:color="auto"/>
        <w:bottom w:val="none" w:sz="0" w:space="0" w:color="auto"/>
        <w:right w:val="none" w:sz="0" w:space="0" w:color="auto"/>
      </w:divBdr>
      <w:divsChild>
        <w:div w:id="2051030949">
          <w:marLeft w:val="0"/>
          <w:marRight w:val="0"/>
          <w:marTop w:val="0"/>
          <w:marBottom w:val="0"/>
          <w:divBdr>
            <w:top w:val="none" w:sz="0" w:space="0" w:color="auto"/>
            <w:left w:val="none" w:sz="0" w:space="0" w:color="auto"/>
            <w:bottom w:val="none" w:sz="0" w:space="0" w:color="auto"/>
            <w:right w:val="none" w:sz="0" w:space="0" w:color="auto"/>
          </w:divBdr>
        </w:div>
        <w:div w:id="788668182">
          <w:marLeft w:val="0"/>
          <w:marRight w:val="0"/>
          <w:marTop w:val="0"/>
          <w:marBottom w:val="0"/>
          <w:divBdr>
            <w:top w:val="none" w:sz="0" w:space="0" w:color="auto"/>
            <w:left w:val="none" w:sz="0" w:space="0" w:color="auto"/>
            <w:bottom w:val="none" w:sz="0" w:space="0" w:color="auto"/>
            <w:right w:val="none" w:sz="0" w:space="0" w:color="auto"/>
          </w:divBdr>
        </w:div>
        <w:div w:id="395515907">
          <w:marLeft w:val="0"/>
          <w:marRight w:val="0"/>
          <w:marTop w:val="0"/>
          <w:marBottom w:val="0"/>
          <w:divBdr>
            <w:top w:val="none" w:sz="0" w:space="0" w:color="auto"/>
            <w:left w:val="none" w:sz="0" w:space="0" w:color="auto"/>
            <w:bottom w:val="none" w:sz="0" w:space="0" w:color="auto"/>
            <w:right w:val="none" w:sz="0" w:space="0" w:color="auto"/>
          </w:divBdr>
        </w:div>
        <w:div w:id="805971240">
          <w:marLeft w:val="0"/>
          <w:marRight w:val="0"/>
          <w:marTop w:val="0"/>
          <w:marBottom w:val="0"/>
          <w:divBdr>
            <w:top w:val="none" w:sz="0" w:space="0" w:color="auto"/>
            <w:left w:val="none" w:sz="0" w:space="0" w:color="auto"/>
            <w:bottom w:val="none" w:sz="0" w:space="0" w:color="auto"/>
            <w:right w:val="none" w:sz="0" w:space="0" w:color="auto"/>
          </w:divBdr>
        </w:div>
        <w:div w:id="1908805328">
          <w:marLeft w:val="0"/>
          <w:marRight w:val="0"/>
          <w:marTop w:val="0"/>
          <w:marBottom w:val="0"/>
          <w:divBdr>
            <w:top w:val="none" w:sz="0" w:space="0" w:color="auto"/>
            <w:left w:val="none" w:sz="0" w:space="0" w:color="auto"/>
            <w:bottom w:val="none" w:sz="0" w:space="0" w:color="auto"/>
            <w:right w:val="none" w:sz="0" w:space="0" w:color="auto"/>
          </w:divBdr>
        </w:div>
        <w:div w:id="1400714349">
          <w:marLeft w:val="0"/>
          <w:marRight w:val="0"/>
          <w:marTop w:val="0"/>
          <w:marBottom w:val="0"/>
          <w:divBdr>
            <w:top w:val="none" w:sz="0" w:space="0" w:color="auto"/>
            <w:left w:val="none" w:sz="0" w:space="0" w:color="auto"/>
            <w:bottom w:val="none" w:sz="0" w:space="0" w:color="auto"/>
            <w:right w:val="none" w:sz="0" w:space="0" w:color="auto"/>
          </w:divBdr>
        </w:div>
      </w:divsChild>
    </w:div>
    <w:div w:id="1204098781">
      <w:bodyDiv w:val="1"/>
      <w:marLeft w:val="0"/>
      <w:marRight w:val="0"/>
      <w:marTop w:val="0"/>
      <w:marBottom w:val="0"/>
      <w:divBdr>
        <w:top w:val="none" w:sz="0" w:space="0" w:color="auto"/>
        <w:left w:val="none" w:sz="0" w:space="0" w:color="auto"/>
        <w:bottom w:val="none" w:sz="0" w:space="0" w:color="auto"/>
        <w:right w:val="none" w:sz="0" w:space="0" w:color="auto"/>
      </w:divBdr>
    </w:div>
    <w:div w:id="1418985585">
      <w:bodyDiv w:val="1"/>
      <w:marLeft w:val="0"/>
      <w:marRight w:val="0"/>
      <w:marTop w:val="0"/>
      <w:marBottom w:val="0"/>
      <w:divBdr>
        <w:top w:val="none" w:sz="0" w:space="0" w:color="auto"/>
        <w:left w:val="none" w:sz="0" w:space="0" w:color="auto"/>
        <w:bottom w:val="none" w:sz="0" w:space="0" w:color="auto"/>
        <w:right w:val="none" w:sz="0" w:space="0" w:color="auto"/>
      </w:divBdr>
    </w:div>
    <w:div w:id="1639992427">
      <w:bodyDiv w:val="1"/>
      <w:marLeft w:val="0"/>
      <w:marRight w:val="0"/>
      <w:marTop w:val="0"/>
      <w:marBottom w:val="0"/>
      <w:divBdr>
        <w:top w:val="none" w:sz="0" w:space="0" w:color="auto"/>
        <w:left w:val="none" w:sz="0" w:space="0" w:color="auto"/>
        <w:bottom w:val="none" w:sz="0" w:space="0" w:color="auto"/>
        <w:right w:val="none" w:sz="0" w:space="0" w:color="auto"/>
      </w:divBdr>
    </w:div>
    <w:div w:id="1661226214">
      <w:bodyDiv w:val="1"/>
      <w:marLeft w:val="0"/>
      <w:marRight w:val="0"/>
      <w:marTop w:val="0"/>
      <w:marBottom w:val="0"/>
      <w:divBdr>
        <w:top w:val="none" w:sz="0" w:space="0" w:color="auto"/>
        <w:left w:val="none" w:sz="0" w:space="0" w:color="auto"/>
        <w:bottom w:val="none" w:sz="0" w:space="0" w:color="auto"/>
        <w:right w:val="none" w:sz="0" w:space="0" w:color="auto"/>
      </w:divBdr>
    </w:div>
    <w:div w:id="1893882773">
      <w:bodyDiv w:val="1"/>
      <w:marLeft w:val="0"/>
      <w:marRight w:val="0"/>
      <w:marTop w:val="0"/>
      <w:marBottom w:val="0"/>
      <w:divBdr>
        <w:top w:val="none" w:sz="0" w:space="0" w:color="auto"/>
        <w:left w:val="none" w:sz="0" w:space="0" w:color="auto"/>
        <w:bottom w:val="none" w:sz="0" w:space="0" w:color="auto"/>
        <w:right w:val="none" w:sz="0" w:space="0" w:color="auto"/>
      </w:divBdr>
    </w:div>
    <w:div w:id="2028289764">
      <w:bodyDiv w:val="1"/>
      <w:marLeft w:val="0"/>
      <w:marRight w:val="0"/>
      <w:marTop w:val="0"/>
      <w:marBottom w:val="0"/>
      <w:divBdr>
        <w:top w:val="none" w:sz="0" w:space="0" w:color="auto"/>
        <w:left w:val="none" w:sz="0" w:space="0" w:color="auto"/>
        <w:bottom w:val="none" w:sz="0" w:space="0" w:color="auto"/>
        <w:right w:val="none" w:sz="0" w:space="0" w:color="auto"/>
      </w:divBdr>
    </w:div>
    <w:div w:id="21398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otsdam.de/fileadmin/projects/quantmethoden/images/BERLIN_Studie_Zusammenfassu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pn.uni-ki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pib-berlin.mpg.de/de/institut/profi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Kropf, Michaela</dc:creator>
  <cp:lastModifiedBy>Kropf, Michaela</cp:lastModifiedBy>
  <cp:revision>5</cp:revision>
  <cp:lastPrinted>2013-11-05T13:10:00Z</cp:lastPrinted>
  <dcterms:created xsi:type="dcterms:W3CDTF">2013-11-04T12:53:00Z</dcterms:created>
  <dcterms:modified xsi:type="dcterms:W3CDTF">2013-11-05T13:43:00Z</dcterms:modified>
</cp:coreProperties>
</file>